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0DDDC">
      <w:pPr>
        <w:spacing w:line="360" w:lineRule="auto"/>
        <w:rPr>
          <w:rFonts w:hint="default" w:ascii="Times New Roman" w:hAnsi="Times New Roman" w:eastAsia="等线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等线" w:cs="Times New Roman"/>
          <w:b/>
          <w:bCs/>
          <w:sz w:val="20"/>
          <w:szCs w:val="20"/>
        </w:rPr>
        <w:t>Supplementary Table S</w:t>
      </w:r>
      <w:r>
        <w:rPr>
          <w:rFonts w:hint="default" w:ascii="Times New Roman" w:hAnsi="Times New Roman" w:eastAsia="等线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eastAsia="等线" w:cs="Times New Roman"/>
          <w:b/>
          <w:bCs/>
          <w:sz w:val="20"/>
          <w:szCs w:val="20"/>
        </w:rPr>
        <w:t xml:space="preserve">. </w:t>
      </w:r>
      <w:r>
        <w:rPr>
          <w:rFonts w:hint="eastAsia" w:ascii="Times New Roman" w:hAnsi="Times New Roman" w:eastAsia="等线" w:cs="Times New Roman"/>
          <w:b/>
          <w:bCs/>
          <w:sz w:val="20"/>
          <w:szCs w:val="20"/>
          <w:lang w:val="en-US" w:eastAsia="zh-CN"/>
        </w:rPr>
        <w:t>Four</w:t>
      </w:r>
      <w:r>
        <w:rPr>
          <w:rFonts w:hint="default" w:ascii="Times New Roman" w:hAnsi="Times New Roman" w:eastAsia="等线" w:cs="Times New Roman"/>
          <w:b/>
          <w:bCs/>
          <w:sz w:val="20"/>
          <w:szCs w:val="20"/>
        </w:rPr>
        <w:t xml:space="preserve"> statistical algorithms and signal generation conditions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328"/>
        <w:gridCol w:w="2095"/>
      </w:tblGrid>
      <w:tr w14:paraId="5A31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44C0EED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Methods</w:t>
            </w:r>
          </w:p>
        </w:tc>
        <w:tc>
          <w:tcPr>
            <w:tcW w:w="532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E550F2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Calculation formula</w:t>
            </w:r>
          </w:p>
        </w:tc>
        <w:tc>
          <w:tcPr>
            <w:tcW w:w="20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5F2C42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Algorithmic signal generation conditions</w:t>
            </w:r>
          </w:p>
        </w:tc>
      </w:tr>
      <w:tr w14:paraId="0458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5B099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ROR</w:t>
            </w:r>
          </w:p>
        </w:tc>
        <w:tc>
          <w:tcPr>
            <w:tcW w:w="532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FE4A451"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lang w:bidi="ar"/>
              </w:rPr>
              <w:object>
                <v:shape id="_x0000_i1025" o:spt="75" type="#_x0000_t75" style="height:31.15pt;width:55.1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  <w:p w14:paraId="51807CE2">
            <w:pPr>
              <w:spacing w:line="360" w:lineRule="auto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6"/>
                <w:lang w:bidi="ar"/>
              </w:rPr>
              <w:object>
                <v:shape id="_x0000_i1026" o:spt="75" type="#_x0000_t75" style="height:34.9pt;width:156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</w:p>
          <w:p w14:paraId="4943D28D">
            <w:pPr>
              <w:spacing w:line="360" w:lineRule="auto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6"/>
                <w:lang w:bidi="ar"/>
              </w:rPr>
              <w:object>
                <v:shape id="_x0000_i1027" o:spt="75" type="#_x0000_t75" style="height:30.4pt;width:157.9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14D01">
            <w:pPr>
              <w:spacing w:line="360" w:lineRule="auto"/>
              <w:ind w:left="200" w:hanging="200" w:hangingChars="100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95%CI (lower limit)&gt;1、</w:t>
            </w:r>
          </w:p>
          <w:p w14:paraId="4923FAC7">
            <w:pPr>
              <w:spacing w:line="360" w:lineRule="auto"/>
              <w:ind w:left="200" w:hanging="200" w:hangingChars="100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a≥3</w:t>
            </w:r>
          </w:p>
        </w:tc>
      </w:tr>
      <w:tr w14:paraId="62A8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14A68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PRR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703D3">
            <w:pPr>
              <w:spacing w:line="360" w:lineRule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object>
                <v:shape id="_x0000_i1028" o:spt="75" type="#_x0000_t75" style="height:33pt;width:82.9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</w:p>
          <w:p w14:paraId="0BD6FB35">
            <w:pPr>
              <w:spacing w:line="360" w:lineRule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10"/>
                <w:szCs w:val="24"/>
                <w:lang w:val="en-US" w:eastAsia="zh-CN" w:bidi="ar"/>
              </w:rPr>
              <w:object>
                <v:shape id="_x0000_i1034" o:spt="75" type="#_x0000_t75" style="height:18pt;width:294.9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5F940">
            <w:pPr>
              <w:spacing w:line="360" w:lineRule="auto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a≥3、PRR&gt;2 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χ 2≥4</w:t>
            </w:r>
          </w:p>
        </w:tc>
      </w:tr>
      <w:tr w14:paraId="1B60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26956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BCPNN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FB9FE">
            <w:pPr>
              <w:spacing w:line="360" w:lineRule="auto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98"/>
                <w:lang w:bidi="ar"/>
              </w:rPr>
              <w:object>
                <v:shape id="_x0000_i1031" o:spt="75" type="#_x0000_t75" style="height:83.25pt;width:484.1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0" r:id="rId1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46"/>
                <w:lang w:bidi="ar"/>
              </w:rPr>
              <w:object>
                <v:shape id="_x0000_i1032" o:spt="75" type="#_x0000_t75" style="height:45.4pt;width:184.9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F367D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IC-2SD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0"/>
                <w:szCs w:val="20"/>
                <w:vertAlign w:val="baseline"/>
              </w:rPr>
              <w:t>IC025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&gt;0</w:t>
            </w:r>
          </w:p>
          <w:p w14:paraId="29EA44DC">
            <w:pPr>
              <w:spacing w:line="360" w:lineRule="auto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 w14:paraId="3A6E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9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DF5FE2B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MGPS</w:t>
            </w:r>
          </w:p>
        </w:tc>
        <w:tc>
          <w:tcPr>
            <w:tcW w:w="53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124AF48">
            <w:pPr>
              <w:spacing w:line="360" w:lineRule="auto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object>
                <v:shape id="_x0000_i1033" o:spt="75" type="#_x0000_t75" style="height:43.9pt;width:196.1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20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7653A11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EBGM05&gt;2</w:t>
            </w:r>
          </w:p>
          <w:p w14:paraId="41718102">
            <w:pPr>
              <w:spacing w:line="360" w:lineRule="auto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</w:tbl>
    <w:p w14:paraId="1155A3E7">
      <w:pPr>
        <w:rPr>
          <w:rFonts w:hint="eastAsia" w:ascii="Times New Roman" w:hAnsi="Times New Roman" w:eastAsia="等线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ROR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reporting odds ratio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</w:rPr>
        <w:t>PRR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proportional reporting ratio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</w:rPr>
        <w:t>BCPNN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bayesian confidence propagation neural network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</w:rPr>
        <w:t>MGPS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multi-item gamma poisson shrinker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ascii="Arial" w:hAnsi="Arial" w:eastAsia="等线" w:cs="Arial"/>
          <w:sz w:val="20"/>
          <w:szCs w:val="20"/>
        </w:rPr>
        <w:t>CI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>,</w:t>
      </w:r>
      <w:r>
        <w:rPr>
          <w:rFonts w:ascii="Arial" w:hAnsi="Arial" w:eastAsia="等线" w:cs="Arial"/>
          <w:sz w:val="20"/>
          <w:szCs w:val="20"/>
        </w:rPr>
        <w:t xml:space="preserve">confidence interval 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>;</w:t>
      </w:r>
      <w:r>
        <w:rPr>
          <w:rFonts w:ascii="Arial" w:hAnsi="Arial" w:eastAsia="等线" w:cs="Arial"/>
          <w:sz w:val="20"/>
          <w:szCs w:val="20"/>
        </w:rPr>
        <w:t>IC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>,</w:t>
      </w:r>
      <w:r>
        <w:rPr>
          <w:rFonts w:ascii="Arial" w:hAnsi="Arial" w:eastAsia="等线" w:cs="Arial"/>
          <w:sz w:val="20"/>
          <w:szCs w:val="20"/>
        </w:rPr>
        <w:t>information component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5CCE"/>
    <w:rsid w:val="299B3939"/>
    <w:rsid w:val="2B36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407</Characters>
  <Lines>0</Lines>
  <Paragraphs>0</Paragraphs>
  <TotalTime>0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2025-05-01T13:27:00Z</dcterms:created>
  <dc:creator>2720263346</dc:creator>
  <cp:lastModifiedBy>Yang Rui</cp:lastModifiedBy>
  <dcterms:modified xsi:type="dcterms:W3CDTF">2025-05-08T14:52:03Z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eyJoZGlkIjoiZjBiMjcxN2VjMTVjYTNkMWIwMzgzYzAzMjE0ZGM0Y2EiLCJ1c2VySWQiOiIzMjE0NzgyMTUifQ==</vt:lpwstr>
  </property>
  <property fmtid="{D5CDD505-2E9C-101B-9397-08002B2CF9AE}" pid="4" name="ICV">
    <vt:lpwstr>4ED60DFC12484DEB99A94805CEF4F16E_12</vt:lpwstr>
  </property>
</Properties>
</file>