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FF95" w14:textId="6E6243F0" w:rsidR="003640D8" w:rsidRPr="00B846EA" w:rsidRDefault="009B1342" w:rsidP="00B35E3E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proofErr w:type="spellStart"/>
      <w:r w:rsidRPr="00A65E1B">
        <w:rPr>
          <w:rFonts w:ascii="Arial" w:eastAsia="Times New Roman" w:hAnsi="Arial" w:cs="Arial"/>
          <w:color w:val="000000" w:themeColor="text1"/>
          <w:lang w:eastAsia="es-ES_tradnl"/>
        </w:rPr>
        <w:t>S</w:t>
      </w:r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upplement</w:t>
      </w:r>
      <w:r w:rsidR="003640D8" w:rsidRPr="00B846EA">
        <w:rPr>
          <w:rFonts w:ascii="Arial" w:eastAsia="Times New Roman" w:hAnsi="Arial" w:cs="Arial"/>
          <w:color w:val="000000" w:themeColor="text1"/>
          <w:lang w:eastAsia="es-ES_tradnl"/>
        </w:rPr>
        <w:t>al</w:t>
      </w:r>
      <w:proofErr w:type="spellEnd"/>
      <w:r w:rsidR="003640D8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Digital Content </w:t>
      </w:r>
    </w:p>
    <w:p w14:paraId="4AD5386F" w14:textId="70E2EA0A" w:rsidR="00C73845" w:rsidRPr="00B846EA" w:rsidRDefault="00C73845" w:rsidP="00B35E3E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33922BB3" w14:textId="28493D49" w:rsidR="00C73845" w:rsidRPr="00B846EA" w:rsidRDefault="00C73845" w:rsidP="00C73845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Study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design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and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Setting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:</w:t>
      </w:r>
    </w:p>
    <w:p w14:paraId="0FED2E9C" w14:textId="77777777" w:rsidR="00C73845" w:rsidRPr="00B846EA" w:rsidRDefault="00C73845" w:rsidP="00C73845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0BEED486" w14:textId="02A7DC0E" w:rsidR="00C73845" w:rsidRPr="00B846EA" w:rsidRDefault="00C73845" w:rsidP="00C73845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The ELISPOT-TC trial will be a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phase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IV,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multicenter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, open-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label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,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randomized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(2:1) non-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inferiority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clinical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trial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conducted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across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11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Spanish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heart-transplant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centers.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The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trial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evaluate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 CMV-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specific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cellular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immunity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(CMI)-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guided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prevention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strategy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using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the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IFN-γ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ELISpot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(T-SPOT.CMV)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assay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versus standard universal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valganciclovir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prophylaxis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for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3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months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.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Patients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be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followed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for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48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weeks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after transplantation.</w:t>
      </w:r>
    </w:p>
    <w:p w14:paraId="7CB1C84B" w14:textId="77777777" w:rsidR="006341A9" w:rsidRPr="00B846EA" w:rsidRDefault="006341A9" w:rsidP="00C73845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011FE101" w14:textId="575308AA" w:rsidR="006341A9" w:rsidRPr="00B846EA" w:rsidRDefault="006341A9" w:rsidP="009D4A59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Study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Objectives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and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Endpoints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: </w:t>
      </w:r>
    </w:p>
    <w:p w14:paraId="278052FA" w14:textId="77777777" w:rsidR="009D4A59" w:rsidRPr="00B846EA" w:rsidRDefault="009D4A59" w:rsidP="009D4A59">
      <w:pPr>
        <w:spacing w:line="480" w:lineRule="auto"/>
        <w:ind w:left="360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40A9B566" w14:textId="77777777" w:rsidR="006341A9" w:rsidRPr="00B846EA" w:rsidRDefault="006341A9" w:rsidP="006341A9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The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primary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objective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of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the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ELISPOT-TC trial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be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to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estimate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and compare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the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cumulative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incidence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of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cytomegalovirus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(CMV)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infection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during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the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first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year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after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heart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transplantation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among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CMV-seropositive (IgG-positive)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recipients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assigned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to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either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 CMI-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guided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prevention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strategy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standard universal valganciclovir prophylaxis.</w:t>
      </w:r>
    </w:p>
    <w:p w14:paraId="49A0D25C" w14:textId="77777777" w:rsidR="006341A9" w:rsidRPr="00B846EA" w:rsidRDefault="006341A9" w:rsidP="006341A9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39B2F820" w14:textId="3D2ED38D" w:rsidR="006341A9" w:rsidRPr="00B846EA" w:rsidRDefault="009D4A59" w:rsidP="006341A9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The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primary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endpoint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be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the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cumulative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incidence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of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CMV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infection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at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one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year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post-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transplant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. CMV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inf</w:t>
      </w:r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ection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be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categorized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as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clinically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significant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non-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si</w:t>
      </w:r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gnificant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according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to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predefined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standardized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thresholds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agreed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upon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across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centers:</w:t>
      </w:r>
    </w:p>
    <w:p w14:paraId="21E5C243" w14:textId="77777777" w:rsidR="006341A9" w:rsidRPr="00B846EA" w:rsidRDefault="006341A9" w:rsidP="006341A9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065A47A1" w14:textId="60F201F1" w:rsidR="006341A9" w:rsidRPr="00B846EA" w:rsidRDefault="006341A9" w:rsidP="006341A9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lastRenderedPageBreak/>
        <w:t>Clini</w:t>
      </w:r>
      <w:r w:rsidR="009D4A59" w:rsidRPr="00B846EA">
        <w:rPr>
          <w:rFonts w:ascii="Arial" w:eastAsia="Times New Roman" w:hAnsi="Arial" w:cs="Arial"/>
          <w:color w:val="000000" w:themeColor="text1"/>
          <w:lang w:eastAsia="es-ES_tradnl"/>
        </w:rPr>
        <w:t>cally</w:t>
      </w:r>
      <w:proofErr w:type="spellEnd"/>
      <w:r w:rsidR="009D4A5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="009D4A59" w:rsidRPr="00B846EA">
        <w:rPr>
          <w:rFonts w:ascii="Arial" w:eastAsia="Times New Roman" w:hAnsi="Arial" w:cs="Arial"/>
          <w:color w:val="000000" w:themeColor="text1"/>
          <w:lang w:eastAsia="es-ES_tradnl"/>
        </w:rPr>
        <w:t>significant</w:t>
      </w:r>
      <w:proofErr w:type="spellEnd"/>
      <w:r w:rsidR="009D4A5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CMV </w:t>
      </w:r>
      <w:proofErr w:type="spellStart"/>
      <w:r w:rsidR="009D4A59" w:rsidRPr="00B846EA">
        <w:rPr>
          <w:rFonts w:ascii="Arial" w:eastAsia="Times New Roman" w:hAnsi="Arial" w:cs="Arial"/>
          <w:color w:val="000000" w:themeColor="text1"/>
          <w:lang w:eastAsia="es-ES_tradnl"/>
        </w:rPr>
        <w:t>infection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be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defined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as CMV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DNAemia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≥ 1000 IU/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mL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≥ 500 copies/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mL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in plasma,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≥ 4500 IU/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mL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≥ 3000 copies/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mL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in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whole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blood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,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any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detectable viral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replication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associated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with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CMV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syndrome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tissue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-invasive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disease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.</w:t>
      </w:r>
    </w:p>
    <w:p w14:paraId="507AA34F" w14:textId="65560CD4" w:rsidR="006341A9" w:rsidRPr="00B846EA" w:rsidRDefault="009D4A59" w:rsidP="006341A9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Non-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significant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CMV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infection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include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episodes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of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CMV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DNAemia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below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these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thresholds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without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clinical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manifestations</w:t>
      </w:r>
      <w:proofErr w:type="spellEnd"/>
      <w:r w:rsidR="006341A9" w:rsidRPr="00B846EA">
        <w:rPr>
          <w:rFonts w:ascii="Arial" w:eastAsia="Times New Roman" w:hAnsi="Arial" w:cs="Arial"/>
          <w:color w:val="000000" w:themeColor="text1"/>
          <w:lang w:eastAsia="es-ES_tradnl"/>
        </w:rPr>
        <w:t>.</w:t>
      </w:r>
    </w:p>
    <w:p w14:paraId="0BD7F3E8" w14:textId="77777777" w:rsidR="006341A9" w:rsidRPr="00B846EA" w:rsidRDefault="006341A9" w:rsidP="006341A9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76B4B576" w14:textId="77777777" w:rsidR="006341A9" w:rsidRPr="00B846EA" w:rsidRDefault="006341A9" w:rsidP="006341A9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Secondary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endpoints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include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the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incidence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of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CMV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disease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, acute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graft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rejection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,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opportunistic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infections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,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hematologic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adverse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events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,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-cause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mortality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, and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cost-effectiveness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of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both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preventive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strategies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.</w:t>
      </w:r>
    </w:p>
    <w:p w14:paraId="5B4FA061" w14:textId="2ED1E2F6" w:rsidR="00C73845" w:rsidRPr="00B846EA" w:rsidRDefault="00C73845" w:rsidP="006341A9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49F262BD" w14:textId="7CAA4082" w:rsidR="009B1342" w:rsidRPr="00B846EA" w:rsidRDefault="00C73845" w:rsidP="00B35E3E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Participants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:</w:t>
      </w:r>
    </w:p>
    <w:p w14:paraId="55C6020B" w14:textId="77777777" w:rsidR="00C73845" w:rsidRPr="00B846EA" w:rsidRDefault="00C73845" w:rsidP="00C73845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2A79A33B" w14:textId="1CC0D278" w:rsidR="00C73845" w:rsidRPr="00B846EA" w:rsidRDefault="00C73845" w:rsidP="00C73845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Eligible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participants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be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adult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(≥18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years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) CMV-seropositive (IgG-positive)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heart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transplant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recipients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of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either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sex.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Written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informed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consent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be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obtained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before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inclusion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.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Exclusion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criteria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include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pregnancy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lactation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,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administration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of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thymoglobulin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as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induction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therapy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,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any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contraindication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to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receive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ganciclovir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valganciclovir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.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Fertile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women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be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required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to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use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effective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contraception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for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at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least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30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days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after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treatment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, and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men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for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90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days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unless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the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partner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not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at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risk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of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pregnancy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.</w:t>
      </w:r>
    </w:p>
    <w:p w14:paraId="2C56FADF" w14:textId="1FE2F61C" w:rsidR="00C73845" w:rsidRPr="00B846EA" w:rsidRDefault="00C73845" w:rsidP="00C73845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00D30155" w14:textId="77777777" w:rsidR="00C73845" w:rsidRPr="00B846EA" w:rsidRDefault="00C73845" w:rsidP="00C73845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Randomization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and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Allocation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Concealment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:</w:t>
      </w:r>
    </w:p>
    <w:p w14:paraId="4E88B840" w14:textId="77777777" w:rsidR="00C73845" w:rsidRPr="00B846EA" w:rsidRDefault="00C73845" w:rsidP="00C73845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61085362" w14:textId="03A1A3A7" w:rsidR="00C73845" w:rsidRPr="00B846EA" w:rsidRDefault="00C73845" w:rsidP="00C73845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Participants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be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randomized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using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centralized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computer-generated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system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in a 2:1 ratio (</w:t>
      </w:r>
      <w:proofErr w:type="spellStart"/>
      <w:proofErr w:type="gram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experimental:control</w:t>
      </w:r>
      <w:proofErr w:type="spellEnd"/>
      <w:proofErr w:type="gram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),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stratified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by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center.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The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allocation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sequence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lastRenderedPageBreak/>
        <w:t>will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be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generated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electronically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by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the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coordinating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center and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implemented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via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secure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web-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based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platform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to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ensure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concealment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.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Due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to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the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nature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of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the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interventions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,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masking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of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investigators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and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participants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not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be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feasible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.</w:t>
      </w:r>
    </w:p>
    <w:p w14:paraId="6B0FF6FC" w14:textId="77777777" w:rsidR="009D4A59" w:rsidRPr="00B846EA" w:rsidRDefault="009D4A59" w:rsidP="00C73845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67707765" w14:textId="3C6FA4B7" w:rsidR="009D4A59" w:rsidRPr="00B846EA" w:rsidRDefault="00C73845" w:rsidP="009D4A59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Interventions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: </w:t>
      </w:r>
    </w:p>
    <w:p w14:paraId="220ED1A1" w14:textId="77777777" w:rsidR="009D4A59" w:rsidRPr="00B846EA" w:rsidRDefault="009D4A59" w:rsidP="009D4A59">
      <w:pPr>
        <w:spacing w:line="480" w:lineRule="auto"/>
        <w:ind w:left="360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21605137" w14:textId="73E6CCC6" w:rsidR="00F86514" w:rsidRPr="00B846EA" w:rsidRDefault="00F86514" w:rsidP="00B35E3E">
      <w:pPr>
        <w:spacing w:line="480" w:lineRule="auto"/>
        <w:jc w:val="both"/>
        <w:rPr>
          <w:rFonts w:ascii="Arial" w:eastAsia="Times New Roman" w:hAnsi="Arial" w:cs="Arial"/>
          <w:i/>
          <w:iCs/>
          <w:color w:val="000000" w:themeColor="text1"/>
          <w:lang w:val="en-US" w:eastAsia="es-ES_tradnl"/>
        </w:rPr>
      </w:pPr>
      <w:r w:rsidRPr="00B846EA">
        <w:rPr>
          <w:rFonts w:ascii="Arial" w:eastAsia="Times New Roman" w:hAnsi="Arial" w:cs="Arial"/>
          <w:i/>
          <w:iCs/>
          <w:color w:val="000000" w:themeColor="text1"/>
          <w:lang w:val="en-US" w:eastAsia="es-ES_tradnl"/>
        </w:rPr>
        <w:t>Assessment of CMV-specific Cell Mediated Immunity:</w:t>
      </w:r>
    </w:p>
    <w:p w14:paraId="42F1AB34" w14:textId="161434B9" w:rsidR="00693A99" w:rsidRPr="00B846EA" w:rsidRDefault="00B1144F" w:rsidP="00B35E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i/>
          <w:iCs/>
          <w:color w:val="000000" w:themeColor="text1"/>
          <w:lang w:val="en-US"/>
        </w:rPr>
      </w:pPr>
      <w:r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 xml:space="preserve">The </w:t>
      </w:r>
      <w:r w:rsidR="00EE6927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 xml:space="preserve">commercially available </w:t>
      </w:r>
      <w:r w:rsidR="003F784C" w:rsidRPr="00B846EA">
        <w:rPr>
          <w:rFonts w:ascii="Arial" w:hAnsi="Arial" w:cs="Arial"/>
          <w:color w:val="000000" w:themeColor="text1"/>
          <w:lang w:val="en-US"/>
        </w:rPr>
        <w:t>IFN-γ ELISpot assay</w:t>
      </w:r>
      <w:r w:rsidR="00693A99" w:rsidRPr="00B846EA">
        <w:rPr>
          <w:rFonts w:ascii="Arial" w:hAnsi="Arial" w:cs="Arial"/>
          <w:color w:val="000000" w:themeColor="text1"/>
          <w:lang w:val="en-US"/>
        </w:rPr>
        <w:t xml:space="preserve"> </w:t>
      </w:r>
      <w:r w:rsidR="00EE6927" w:rsidRPr="00B846EA">
        <w:rPr>
          <w:rFonts w:ascii="Arial" w:hAnsi="Arial" w:cs="Arial"/>
          <w:color w:val="000000" w:themeColor="text1"/>
          <w:lang w:val="en-US"/>
        </w:rPr>
        <w:t xml:space="preserve">T-SPOT®.CMV </w:t>
      </w:r>
      <w:r w:rsidR="00EE6927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 xml:space="preserve">(Oxford </w:t>
      </w:r>
      <w:proofErr w:type="spellStart"/>
      <w:r w:rsidR="00EE6927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>Immunotec</w:t>
      </w:r>
      <w:proofErr w:type="spellEnd"/>
      <w:r w:rsidR="00EE6927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 xml:space="preserve">, ltd., Oxford, UK) </w:t>
      </w:r>
      <w:r w:rsidR="009D4A59" w:rsidRPr="00B846EA">
        <w:rPr>
          <w:rFonts w:ascii="Arial" w:hAnsi="Arial" w:cs="Arial"/>
          <w:color w:val="000000" w:themeColor="text1"/>
          <w:lang w:val="en-US"/>
        </w:rPr>
        <w:t xml:space="preserve">will be </w:t>
      </w:r>
      <w:r w:rsidR="00693A99" w:rsidRPr="00B846EA">
        <w:rPr>
          <w:rFonts w:ascii="Arial" w:hAnsi="Arial" w:cs="Arial"/>
          <w:color w:val="000000" w:themeColor="text1"/>
          <w:lang w:val="en-US"/>
        </w:rPr>
        <w:t>used to assess the CMI against 2 major immunogenic CMV antigens (IE-1 and pp65) using overlapping peptide</w:t>
      </w:r>
    </w:p>
    <w:p w14:paraId="14910A32" w14:textId="5AC59DB9" w:rsidR="00693A99" w:rsidRPr="00B846EA" w:rsidRDefault="00693A99" w:rsidP="00B35E3E">
      <w:pPr>
        <w:autoSpaceDE w:val="0"/>
        <w:autoSpaceDN w:val="0"/>
        <w:adjustRightInd w:val="0"/>
        <w:spacing w:line="480" w:lineRule="auto"/>
        <w:jc w:val="both"/>
        <w:rPr>
          <w:rFonts w:ascii="Arial" w:eastAsia="Times New Roman" w:hAnsi="Arial" w:cs="Arial"/>
          <w:color w:val="000000" w:themeColor="text1"/>
          <w:lang w:val="en-US" w:eastAsia="es-ES_tradnl"/>
        </w:rPr>
      </w:pPr>
      <w:r w:rsidRPr="00B846EA">
        <w:rPr>
          <w:rFonts w:ascii="Arial" w:hAnsi="Arial" w:cs="Arial"/>
          <w:color w:val="000000" w:themeColor="text1"/>
          <w:lang w:val="en-US"/>
        </w:rPr>
        <w:t xml:space="preserve">pools covering the whole antigen length </w:t>
      </w:r>
      <w:proofErr w:type="gramStart"/>
      <w:r w:rsidRPr="00B846EA">
        <w:rPr>
          <w:rFonts w:ascii="Arial" w:hAnsi="Arial" w:cs="Arial"/>
          <w:color w:val="000000" w:themeColor="text1"/>
          <w:lang w:val="en-US"/>
        </w:rPr>
        <w:t xml:space="preserve">and </w:t>
      </w:r>
      <w:r w:rsidR="003F784C" w:rsidRPr="00B846EA">
        <w:rPr>
          <w:rFonts w:ascii="Arial" w:hAnsi="Arial" w:cs="Arial"/>
          <w:color w:val="000000" w:themeColor="text1"/>
          <w:lang w:val="en-US"/>
        </w:rPr>
        <w:t xml:space="preserve"> </w:t>
      </w:r>
      <w:r w:rsidR="002072A0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>has</w:t>
      </w:r>
      <w:proofErr w:type="gramEnd"/>
      <w:r w:rsidR="002072A0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 xml:space="preserve"> been </w:t>
      </w:r>
      <w:r w:rsidR="00B1144F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>conducted following manufacturer guidelines</w:t>
      </w:r>
      <w:r w:rsidR="00EE6927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>. Briefly,</w:t>
      </w:r>
      <w:r w:rsidR="003F784C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 xml:space="preserve"> </w:t>
      </w:r>
      <w:r w:rsidR="00EE6927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>2.5</w:t>
      </w:r>
      <w:r w:rsidR="00B1144F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>x10</w:t>
      </w:r>
      <w:r w:rsidR="00B1144F" w:rsidRPr="00B846EA">
        <w:rPr>
          <w:rFonts w:ascii="Arial" w:eastAsia="Times New Roman" w:hAnsi="Arial" w:cs="Arial"/>
          <w:color w:val="000000" w:themeColor="text1"/>
          <w:vertAlign w:val="superscript"/>
          <w:lang w:val="en-US" w:eastAsia="es-ES_tradnl"/>
        </w:rPr>
        <w:t>5</w:t>
      </w:r>
      <w:r w:rsidR="00B1144F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 xml:space="preserve"> PBMC (in 100µl) w</w:t>
      </w:r>
      <w:r w:rsidR="009D4A59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>ill be</w:t>
      </w:r>
      <w:r w:rsidR="00B1144F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 xml:space="preserve"> stimulated with CMV antigens for 20 hours in duplicate wells. IFN-ɣ spots </w:t>
      </w:r>
      <w:r w:rsidR="009D4A59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 xml:space="preserve">will be </w:t>
      </w:r>
      <w:r w:rsidR="00B1144F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 xml:space="preserve">detected after using biotinylated anti-human IFN-ɣ antibody plus the addition of alkaline phosphatase conjugate substrate. IFN-ɣ spots obtained </w:t>
      </w:r>
      <w:r w:rsidR="009D4A59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 xml:space="preserve">will be </w:t>
      </w:r>
      <w:r w:rsidR="00B1144F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 xml:space="preserve">counted with an ELISPOT reader (AID® </w:t>
      </w:r>
      <w:proofErr w:type="spellStart"/>
      <w:r w:rsidR="00B1144F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>Gmbh</w:t>
      </w:r>
      <w:proofErr w:type="spellEnd"/>
      <w:r w:rsidR="00B1144F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 xml:space="preserve">, ELISPOT Reader HR fourth generation). In each test, AIM-V medium alone and </w:t>
      </w:r>
      <w:proofErr w:type="spellStart"/>
      <w:r w:rsidR="00B1144F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>Phytohemagluttinin</w:t>
      </w:r>
      <w:proofErr w:type="spellEnd"/>
      <w:r w:rsidR="00B1144F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 xml:space="preserve"> (PHA) w</w:t>
      </w:r>
      <w:r w:rsidR="009D4A59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>ill be</w:t>
      </w:r>
      <w:r w:rsidR="00B1144F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 xml:space="preserve"> used as negative and positive controls, respectively. Total CMV-specific IFN-ɣ spots w</w:t>
      </w:r>
      <w:r w:rsidR="009D4A59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>ill be</w:t>
      </w:r>
      <w:r w:rsidR="00B1144F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 xml:space="preserve"> provided after subtracting the number of IFN-ɣ spots observed in the respective negative controls. </w:t>
      </w:r>
    </w:p>
    <w:p w14:paraId="1CE027C7" w14:textId="42EEE812" w:rsidR="00693A99" w:rsidRPr="00B846EA" w:rsidRDefault="00EE6927" w:rsidP="00B35E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B846EA">
        <w:rPr>
          <w:rFonts w:ascii="Arial" w:hAnsi="Arial" w:cs="Arial"/>
          <w:color w:val="000000" w:themeColor="text1"/>
          <w:lang w:val="en-US"/>
        </w:rPr>
        <w:t>The cut-of</w:t>
      </w:r>
      <w:r w:rsidR="009D4A59" w:rsidRPr="00B846EA">
        <w:rPr>
          <w:rFonts w:ascii="Arial" w:hAnsi="Arial" w:cs="Arial"/>
          <w:color w:val="000000" w:themeColor="text1"/>
          <w:lang w:val="en-US"/>
        </w:rPr>
        <w:t>fs</w:t>
      </w:r>
      <w:r w:rsidR="001F094D">
        <w:rPr>
          <w:rFonts w:ascii="Arial" w:hAnsi="Arial" w:cs="Arial"/>
          <w:color w:val="000000" w:themeColor="text1"/>
          <w:lang w:val="en-US"/>
        </w:rPr>
        <w:t xml:space="preserve"> that will be used</w:t>
      </w:r>
      <w:r w:rsidR="009D4A59" w:rsidRPr="00B846EA">
        <w:rPr>
          <w:rFonts w:ascii="Arial" w:hAnsi="Arial" w:cs="Arial"/>
          <w:color w:val="000000" w:themeColor="text1"/>
          <w:lang w:val="en-US"/>
        </w:rPr>
        <w:t xml:space="preserve"> for decision-making</w:t>
      </w:r>
      <w:r w:rsidR="006E214C">
        <w:rPr>
          <w:rFonts w:ascii="Arial" w:hAnsi="Arial" w:cs="Arial"/>
          <w:color w:val="000000" w:themeColor="text1"/>
          <w:lang w:val="en-US"/>
        </w:rPr>
        <w:t xml:space="preserve"> are as follows</w:t>
      </w:r>
      <w:r w:rsidR="00300313" w:rsidRPr="00B846EA">
        <w:rPr>
          <w:rFonts w:ascii="Arial" w:hAnsi="Arial" w:cs="Arial"/>
          <w:color w:val="000000" w:themeColor="text1"/>
          <w:lang w:val="en-US"/>
        </w:rPr>
        <w:t>:</w:t>
      </w:r>
    </w:p>
    <w:p w14:paraId="5E62CFB6" w14:textId="4DED185B" w:rsidR="00693A99" w:rsidRPr="00B846EA" w:rsidRDefault="00693A99" w:rsidP="00B35E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B846EA">
        <w:rPr>
          <w:rFonts w:ascii="Arial" w:hAnsi="Arial" w:cs="Arial"/>
          <w:b/>
          <w:bCs/>
          <w:color w:val="000000" w:themeColor="text1"/>
          <w:lang w:val="en-US"/>
        </w:rPr>
        <w:t xml:space="preserve">Low </w:t>
      </w:r>
      <w:r w:rsidR="008E07A2" w:rsidRPr="00B846EA">
        <w:rPr>
          <w:rFonts w:ascii="Arial" w:hAnsi="Arial" w:cs="Arial"/>
          <w:b/>
          <w:bCs/>
          <w:color w:val="000000" w:themeColor="text1"/>
          <w:lang w:val="en-US"/>
        </w:rPr>
        <w:t xml:space="preserve">CMV </w:t>
      </w:r>
      <w:r w:rsidRPr="00B846EA">
        <w:rPr>
          <w:rFonts w:ascii="Arial" w:hAnsi="Arial" w:cs="Arial"/>
          <w:b/>
          <w:bCs/>
          <w:color w:val="000000" w:themeColor="text1"/>
          <w:lang w:val="en-US"/>
        </w:rPr>
        <w:t>risk:</w:t>
      </w:r>
      <w:r w:rsidRPr="00B846EA">
        <w:rPr>
          <w:rFonts w:ascii="Arial" w:hAnsi="Arial" w:cs="Arial"/>
          <w:color w:val="000000" w:themeColor="text1"/>
          <w:lang w:val="en-US"/>
        </w:rPr>
        <w:t xml:space="preserve"> &gt;</w:t>
      </w:r>
      <w:r w:rsidR="001F094D">
        <w:rPr>
          <w:rFonts w:ascii="Arial" w:hAnsi="Arial" w:cs="Arial"/>
          <w:color w:val="000000" w:themeColor="text1"/>
          <w:lang w:val="en-US"/>
        </w:rPr>
        <w:t>40</w:t>
      </w:r>
      <w:r w:rsidR="00366B9B" w:rsidRPr="00B846EA">
        <w:rPr>
          <w:rFonts w:ascii="Arial" w:hAnsi="Arial" w:cs="Arial"/>
          <w:color w:val="000000" w:themeColor="text1"/>
          <w:lang w:val="en-US"/>
        </w:rPr>
        <w:t xml:space="preserve"> </w:t>
      </w:r>
      <w:r w:rsidRPr="00B846EA">
        <w:rPr>
          <w:rFonts w:ascii="Arial" w:hAnsi="Arial" w:cs="Arial"/>
          <w:color w:val="000000" w:themeColor="text1"/>
          <w:lang w:val="en-US"/>
        </w:rPr>
        <w:t>IFN-</w:t>
      </w:r>
      <w:r w:rsidRPr="00B846EA">
        <w:rPr>
          <w:rFonts w:ascii="Arial" w:hAnsi="Arial" w:cs="Arial"/>
          <w:color w:val="000000" w:themeColor="text1"/>
          <w:lang w:val="es-ES_tradnl"/>
        </w:rPr>
        <w:t>γ</w:t>
      </w:r>
      <w:r w:rsidRPr="00B846EA">
        <w:rPr>
          <w:rFonts w:ascii="Arial" w:hAnsi="Arial" w:cs="Arial"/>
          <w:color w:val="000000" w:themeColor="text1"/>
          <w:lang w:val="en-US"/>
        </w:rPr>
        <w:t xml:space="preserve"> spots/</w:t>
      </w:r>
      <w:r w:rsidR="008E07A2" w:rsidRPr="00B846EA">
        <w:rPr>
          <w:rFonts w:ascii="Arial" w:hAnsi="Arial" w:cs="Arial"/>
          <w:color w:val="000000" w:themeColor="text1"/>
          <w:lang w:val="en-US"/>
        </w:rPr>
        <w:t>2.5</w:t>
      </w:r>
      <w:r w:rsidRPr="00B846EA">
        <w:rPr>
          <w:rFonts w:ascii="Arial" w:hAnsi="Arial" w:cs="Arial"/>
          <w:color w:val="000000" w:themeColor="text1"/>
          <w:lang w:val="en-US"/>
        </w:rPr>
        <w:t xml:space="preserve"> x10</w:t>
      </w:r>
      <w:r w:rsidRPr="00B846EA">
        <w:rPr>
          <w:rFonts w:ascii="Arial" w:hAnsi="Arial" w:cs="Arial"/>
          <w:color w:val="000000" w:themeColor="text1"/>
          <w:vertAlign w:val="superscript"/>
          <w:lang w:val="en-US"/>
        </w:rPr>
        <w:t>5</w:t>
      </w:r>
      <w:r w:rsidRPr="00B846EA">
        <w:rPr>
          <w:rFonts w:ascii="Arial" w:hAnsi="Arial" w:cs="Arial"/>
          <w:color w:val="000000" w:themeColor="text1"/>
          <w:lang w:val="en-US"/>
        </w:rPr>
        <w:t xml:space="preserve"> for IE-1 antigen and &gt;</w:t>
      </w:r>
      <w:r w:rsidR="008E07A2" w:rsidRPr="00B846EA">
        <w:rPr>
          <w:rFonts w:ascii="Arial" w:hAnsi="Arial" w:cs="Arial"/>
          <w:color w:val="000000" w:themeColor="text1"/>
          <w:lang w:val="en-US"/>
        </w:rPr>
        <w:t>1</w:t>
      </w:r>
      <w:r w:rsidR="001F094D">
        <w:rPr>
          <w:rFonts w:ascii="Arial" w:hAnsi="Arial" w:cs="Arial"/>
          <w:color w:val="000000" w:themeColor="text1"/>
          <w:lang w:val="en-US"/>
        </w:rPr>
        <w:t>70</w:t>
      </w:r>
      <w:r w:rsidR="008E07A2" w:rsidRPr="00B846EA">
        <w:rPr>
          <w:rFonts w:ascii="Arial" w:hAnsi="Arial" w:cs="Arial"/>
          <w:color w:val="000000" w:themeColor="text1"/>
          <w:lang w:val="en-US"/>
        </w:rPr>
        <w:t xml:space="preserve"> </w:t>
      </w:r>
      <w:r w:rsidRPr="00B846EA">
        <w:rPr>
          <w:rFonts w:ascii="Arial" w:hAnsi="Arial" w:cs="Arial"/>
          <w:color w:val="000000" w:themeColor="text1"/>
          <w:lang w:val="en-US"/>
        </w:rPr>
        <w:t>IFN-</w:t>
      </w:r>
      <w:r w:rsidRPr="00B846EA">
        <w:rPr>
          <w:rFonts w:ascii="Arial" w:hAnsi="Arial" w:cs="Arial"/>
          <w:color w:val="000000" w:themeColor="text1"/>
          <w:lang w:val="es-ES_tradnl"/>
        </w:rPr>
        <w:t>γ</w:t>
      </w:r>
      <w:r w:rsidRPr="00B846EA">
        <w:rPr>
          <w:rFonts w:ascii="Arial" w:hAnsi="Arial" w:cs="Arial"/>
          <w:color w:val="000000" w:themeColor="text1"/>
          <w:lang w:val="en-US"/>
        </w:rPr>
        <w:t xml:space="preserve"> spots/</w:t>
      </w:r>
      <w:r w:rsidR="008E07A2" w:rsidRPr="00B846EA">
        <w:rPr>
          <w:rFonts w:ascii="Arial" w:hAnsi="Arial" w:cs="Arial"/>
          <w:color w:val="000000" w:themeColor="text1"/>
          <w:lang w:val="en-US"/>
        </w:rPr>
        <w:t>2.5</w:t>
      </w:r>
      <w:r w:rsidRPr="00B846EA">
        <w:rPr>
          <w:rFonts w:ascii="Arial" w:hAnsi="Arial" w:cs="Arial"/>
          <w:color w:val="000000" w:themeColor="text1"/>
          <w:lang w:val="en-US"/>
        </w:rPr>
        <w:t xml:space="preserve"> x10</w:t>
      </w:r>
      <w:r w:rsidRPr="00B846EA">
        <w:rPr>
          <w:rFonts w:ascii="Arial" w:hAnsi="Arial" w:cs="Arial"/>
          <w:color w:val="000000" w:themeColor="text1"/>
          <w:vertAlign w:val="superscript"/>
          <w:lang w:val="en-US"/>
        </w:rPr>
        <w:t>5</w:t>
      </w:r>
      <w:r w:rsidRPr="00B846EA">
        <w:rPr>
          <w:rFonts w:ascii="Arial" w:hAnsi="Arial" w:cs="Arial"/>
          <w:color w:val="000000" w:themeColor="text1"/>
          <w:lang w:val="en-US"/>
        </w:rPr>
        <w:t xml:space="preserve"> for pp65 antigen</w:t>
      </w:r>
    </w:p>
    <w:p w14:paraId="0FC771D4" w14:textId="0EE7B2BD" w:rsidR="00693A99" w:rsidRPr="00B846EA" w:rsidRDefault="00693A99" w:rsidP="00B35E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B846EA">
        <w:rPr>
          <w:rFonts w:ascii="Arial" w:hAnsi="Arial" w:cs="Arial"/>
          <w:b/>
          <w:bCs/>
          <w:color w:val="000000" w:themeColor="text1"/>
          <w:lang w:val="en-US"/>
        </w:rPr>
        <w:t>High risk:</w:t>
      </w:r>
      <w:r w:rsidRPr="00B846EA">
        <w:rPr>
          <w:rFonts w:ascii="Arial" w:hAnsi="Arial" w:cs="Arial"/>
          <w:color w:val="000000" w:themeColor="text1"/>
          <w:lang w:val="en-US"/>
        </w:rPr>
        <w:t xml:space="preserve"> &lt;</w:t>
      </w:r>
      <w:r w:rsidR="001F094D">
        <w:rPr>
          <w:rFonts w:ascii="Arial" w:hAnsi="Arial" w:cs="Arial"/>
          <w:color w:val="000000" w:themeColor="text1"/>
          <w:lang w:val="en-US"/>
        </w:rPr>
        <w:t>40</w:t>
      </w:r>
      <w:r w:rsidR="008E07A2" w:rsidRPr="00B846EA">
        <w:rPr>
          <w:rFonts w:ascii="Arial" w:hAnsi="Arial" w:cs="Arial"/>
          <w:color w:val="000000" w:themeColor="text1"/>
          <w:lang w:val="en-US"/>
        </w:rPr>
        <w:t xml:space="preserve"> </w:t>
      </w:r>
      <w:r w:rsidRPr="00B846EA">
        <w:rPr>
          <w:rFonts w:ascii="Arial" w:hAnsi="Arial" w:cs="Arial"/>
          <w:color w:val="000000" w:themeColor="text1"/>
          <w:lang w:val="en-US"/>
        </w:rPr>
        <w:t>IFN-</w:t>
      </w:r>
      <w:r w:rsidRPr="00B846EA">
        <w:rPr>
          <w:rFonts w:ascii="Arial" w:hAnsi="Arial" w:cs="Arial"/>
          <w:color w:val="000000" w:themeColor="text1"/>
          <w:lang w:val="es-ES_tradnl"/>
        </w:rPr>
        <w:t>γ</w:t>
      </w:r>
      <w:r w:rsidRPr="00B846EA">
        <w:rPr>
          <w:rFonts w:ascii="Arial" w:hAnsi="Arial" w:cs="Arial"/>
          <w:color w:val="000000" w:themeColor="text1"/>
          <w:lang w:val="en-US"/>
        </w:rPr>
        <w:t xml:space="preserve"> spots/</w:t>
      </w:r>
      <w:r w:rsidR="008E07A2" w:rsidRPr="00B846EA">
        <w:rPr>
          <w:rFonts w:ascii="Arial" w:hAnsi="Arial" w:cs="Arial"/>
          <w:color w:val="000000" w:themeColor="text1"/>
          <w:lang w:val="en-US"/>
        </w:rPr>
        <w:t>2.5</w:t>
      </w:r>
      <w:r w:rsidRPr="00B846EA">
        <w:rPr>
          <w:rFonts w:ascii="Arial" w:hAnsi="Arial" w:cs="Arial"/>
          <w:color w:val="000000" w:themeColor="text1"/>
          <w:lang w:val="en-US"/>
        </w:rPr>
        <w:t xml:space="preserve"> x10</w:t>
      </w:r>
      <w:r w:rsidRPr="00B846EA">
        <w:rPr>
          <w:rFonts w:ascii="Arial" w:hAnsi="Arial" w:cs="Arial"/>
          <w:color w:val="000000" w:themeColor="text1"/>
          <w:vertAlign w:val="superscript"/>
          <w:lang w:val="en-US"/>
        </w:rPr>
        <w:t>5</w:t>
      </w:r>
      <w:r w:rsidRPr="00B846EA">
        <w:rPr>
          <w:rFonts w:ascii="Arial" w:hAnsi="Arial" w:cs="Arial"/>
          <w:color w:val="000000" w:themeColor="text1"/>
          <w:lang w:val="en-US"/>
        </w:rPr>
        <w:t xml:space="preserve"> for IE-1 </w:t>
      </w:r>
      <w:proofErr w:type="gramStart"/>
      <w:r w:rsidRPr="00B846EA">
        <w:rPr>
          <w:rFonts w:ascii="Arial" w:hAnsi="Arial" w:cs="Arial"/>
          <w:color w:val="000000" w:themeColor="text1"/>
          <w:lang w:val="en-US"/>
        </w:rPr>
        <w:t>antigen  and</w:t>
      </w:r>
      <w:proofErr w:type="gramEnd"/>
      <w:r w:rsidRPr="00B846EA">
        <w:rPr>
          <w:rFonts w:ascii="Arial" w:hAnsi="Arial" w:cs="Arial"/>
          <w:color w:val="000000" w:themeColor="text1"/>
          <w:lang w:val="en-US"/>
        </w:rPr>
        <w:t xml:space="preserve"> &lt;</w:t>
      </w:r>
      <w:r w:rsidR="001F094D">
        <w:rPr>
          <w:rFonts w:ascii="Arial" w:hAnsi="Arial" w:cs="Arial"/>
          <w:color w:val="000000" w:themeColor="text1"/>
          <w:lang w:val="en-US"/>
        </w:rPr>
        <w:t>170</w:t>
      </w:r>
      <w:r w:rsidR="008E07A2" w:rsidRPr="00B846EA">
        <w:rPr>
          <w:rFonts w:ascii="Arial" w:hAnsi="Arial" w:cs="Arial"/>
          <w:color w:val="000000" w:themeColor="text1"/>
          <w:lang w:val="en-US"/>
        </w:rPr>
        <w:t xml:space="preserve"> IFN</w:t>
      </w:r>
      <w:r w:rsidRPr="00B846EA">
        <w:rPr>
          <w:rFonts w:ascii="Arial" w:hAnsi="Arial" w:cs="Arial"/>
          <w:color w:val="000000" w:themeColor="text1"/>
          <w:lang w:val="en-US"/>
        </w:rPr>
        <w:t>-</w:t>
      </w:r>
      <w:r w:rsidRPr="00B846EA">
        <w:rPr>
          <w:rFonts w:ascii="Arial" w:hAnsi="Arial" w:cs="Arial"/>
          <w:color w:val="000000" w:themeColor="text1"/>
          <w:lang w:val="es-ES_tradnl"/>
        </w:rPr>
        <w:t>γ</w:t>
      </w:r>
      <w:r w:rsidRPr="00B846EA">
        <w:rPr>
          <w:rFonts w:ascii="Arial" w:hAnsi="Arial" w:cs="Arial"/>
          <w:color w:val="000000" w:themeColor="text1"/>
          <w:lang w:val="en-US"/>
        </w:rPr>
        <w:t xml:space="preserve"> spots/</w:t>
      </w:r>
      <w:r w:rsidR="008E07A2" w:rsidRPr="00B846EA">
        <w:rPr>
          <w:rFonts w:ascii="Arial" w:hAnsi="Arial" w:cs="Arial"/>
          <w:color w:val="000000" w:themeColor="text1"/>
          <w:lang w:val="en-US"/>
        </w:rPr>
        <w:t>2.5</w:t>
      </w:r>
      <w:r w:rsidRPr="00B846EA">
        <w:rPr>
          <w:rFonts w:ascii="Arial" w:hAnsi="Arial" w:cs="Arial"/>
          <w:color w:val="000000" w:themeColor="text1"/>
          <w:lang w:val="en-US"/>
        </w:rPr>
        <w:t xml:space="preserve"> x10</w:t>
      </w:r>
      <w:r w:rsidRPr="00B846EA">
        <w:rPr>
          <w:rFonts w:ascii="Arial" w:hAnsi="Arial" w:cs="Arial"/>
          <w:color w:val="000000" w:themeColor="text1"/>
          <w:vertAlign w:val="superscript"/>
          <w:lang w:val="en-US"/>
        </w:rPr>
        <w:t>5</w:t>
      </w:r>
      <w:r w:rsidRPr="00B846EA">
        <w:rPr>
          <w:rFonts w:ascii="Arial" w:hAnsi="Arial" w:cs="Arial"/>
          <w:color w:val="000000" w:themeColor="text1"/>
          <w:lang w:val="en-US"/>
        </w:rPr>
        <w:t xml:space="preserve"> for pp65 </w:t>
      </w:r>
      <w:proofErr w:type="gramStart"/>
      <w:r w:rsidRPr="00B846EA">
        <w:rPr>
          <w:rFonts w:ascii="Arial" w:hAnsi="Arial" w:cs="Arial"/>
          <w:color w:val="000000" w:themeColor="text1"/>
          <w:lang w:val="en-US"/>
        </w:rPr>
        <w:t>antigen  or</w:t>
      </w:r>
      <w:proofErr w:type="gramEnd"/>
      <w:r w:rsidRPr="00B846EA">
        <w:rPr>
          <w:rFonts w:ascii="Arial" w:hAnsi="Arial" w:cs="Arial"/>
          <w:color w:val="000000" w:themeColor="text1"/>
          <w:lang w:val="en-US"/>
        </w:rPr>
        <w:t xml:space="preserve"> IE-1&lt;</w:t>
      </w:r>
      <w:r w:rsidR="001F094D">
        <w:rPr>
          <w:rFonts w:ascii="Arial" w:hAnsi="Arial" w:cs="Arial"/>
          <w:color w:val="000000" w:themeColor="text1"/>
          <w:lang w:val="en-US"/>
        </w:rPr>
        <w:t>40</w:t>
      </w:r>
      <w:r w:rsidRPr="00B846EA">
        <w:rPr>
          <w:rFonts w:ascii="Arial" w:hAnsi="Arial" w:cs="Arial"/>
          <w:color w:val="000000" w:themeColor="text1"/>
          <w:lang w:val="en-US"/>
        </w:rPr>
        <w:t xml:space="preserve"> and pp65&gt;1</w:t>
      </w:r>
      <w:r w:rsidR="001F094D">
        <w:rPr>
          <w:rFonts w:ascii="Arial" w:hAnsi="Arial" w:cs="Arial"/>
          <w:color w:val="000000" w:themeColor="text1"/>
          <w:lang w:val="en-US"/>
        </w:rPr>
        <w:t>70</w:t>
      </w:r>
      <w:r w:rsidRPr="00B846EA">
        <w:rPr>
          <w:rFonts w:ascii="Arial" w:hAnsi="Arial" w:cs="Arial"/>
          <w:color w:val="000000" w:themeColor="text1"/>
          <w:lang w:val="en-US"/>
        </w:rPr>
        <w:t xml:space="preserve"> </w:t>
      </w:r>
      <w:proofErr w:type="gramStart"/>
      <w:r w:rsidRPr="00B846EA">
        <w:rPr>
          <w:rFonts w:ascii="Arial" w:hAnsi="Arial" w:cs="Arial"/>
          <w:color w:val="000000" w:themeColor="text1"/>
          <w:lang w:val="en-US"/>
        </w:rPr>
        <w:t>or  IE</w:t>
      </w:r>
      <w:proofErr w:type="gramEnd"/>
      <w:r w:rsidRPr="00B846EA">
        <w:rPr>
          <w:rFonts w:ascii="Arial" w:hAnsi="Arial" w:cs="Arial"/>
          <w:color w:val="000000" w:themeColor="text1"/>
          <w:lang w:val="en-US"/>
        </w:rPr>
        <w:t>-1&gt;</w:t>
      </w:r>
      <w:r w:rsidR="001F094D">
        <w:rPr>
          <w:rFonts w:ascii="Arial" w:hAnsi="Arial" w:cs="Arial"/>
          <w:color w:val="000000" w:themeColor="text1"/>
          <w:lang w:val="en-US"/>
        </w:rPr>
        <w:t>40</w:t>
      </w:r>
      <w:r w:rsidRPr="00B846EA">
        <w:rPr>
          <w:rFonts w:ascii="Arial" w:hAnsi="Arial" w:cs="Arial"/>
          <w:color w:val="000000" w:themeColor="text1"/>
          <w:lang w:val="en-US"/>
        </w:rPr>
        <w:t xml:space="preserve"> </w:t>
      </w:r>
      <w:proofErr w:type="gramStart"/>
      <w:r w:rsidRPr="00B846EA">
        <w:rPr>
          <w:rFonts w:ascii="Arial" w:hAnsi="Arial" w:cs="Arial"/>
          <w:color w:val="000000" w:themeColor="text1"/>
          <w:lang w:val="en-US"/>
        </w:rPr>
        <w:t>and  pp</w:t>
      </w:r>
      <w:proofErr w:type="gramEnd"/>
      <w:r w:rsidRPr="00B846EA">
        <w:rPr>
          <w:rFonts w:ascii="Arial" w:hAnsi="Arial" w:cs="Arial"/>
          <w:color w:val="000000" w:themeColor="text1"/>
          <w:lang w:val="en-US"/>
        </w:rPr>
        <w:t>65&lt;1</w:t>
      </w:r>
      <w:r w:rsidR="001F094D">
        <w:rPr>
          <w:rFonts w:ascii="Arial" w:hAnsi="Arial" w:cs="Arial"/>
          <w:color w:val="000000" w:themeColor="text1"/>
          <w:lang w:val="en-US"/>
        </w:rPr>
        <w:t>70</w:t>
      </w:r>
      <w:r w:rsidRPr="00B846EA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0A23EC0D" w14:textId="6308828C" w:rsidR="009D4A59" w:rsidRPr="00B846EA" w:rsidRDefault="00693A99" w:rsidP="00B35E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B846EA">
        <w:rPr>
          <w:rFonts w:ascii="Arial" w:hAnsi="Arial" w:cs="Arial"/>
          <w:b/>
          <w:bCs/>
          <w:color w:val="000000" w:themeColor="text1"/>
          <w:lang w:val="en-US"/>
        </w:rPr>
        <w:lastRenderedPageBreak/>
        <w:t>Unreactive:</w:t>
      </w:r>
      <w:r w:rsidRPr="00B846EA">
        <w:rPr>
          <w:rFonts w:ascii="Arial" w:hAnsi="Arial" w:cs="Arial"/>
          <w:color w:val="000000" w:themeColor="text1"/>
          <w:lang w:val="en-US"/>
        </w:rPr>
        <w:t xml:space="preserve"> &lt;5 IFN-</w:t>
      </w:r>
      <w:r w:rsidRPr="00B846EA">
        <w:rPr>
          <w:rFonts w:ascii="Arial" w:hAnsi="Arial" w:cs="Arial"/>
          <w:color w:val="000000" w:themeColor="text1"/>
          <w:lang w:val="es-ES_tradnl"/>
        </w:rPr>
        <w:t>γ</w:t>
      </w:r>
      <w:r w:rsidRPr="00B846EA">
        <w:rPr>
          <w:rFonts w:ascii="Arial" w:hAnsi="Arial" w:cs="Arial"/>
          <w:color w:val="000000" w:themeColor="text1"/>
          <w:lang w:val="en-US"/>
        </w:rPr>
        <w:t xml:space="preserve"> spots/</w:t>
      </w:r>
      <w:r w:rsidR="008E07A2" w:rsidRPr="00B846EA">
        <w:rPr>
          <w:rFonts w:ascii="Arial" w:hAnsi="Arial" w:cs="Arial"/>
          <w:color w:val="000000" w:themeColor="text1"/>
          <w:lang w:val="en-US"/>
        </w:rPr>
        <w:t>2.5</w:t>
      </w:r>
      <w:r w:rsidRPr="00B846EA">
        <w:rPr>
          <w:rFonts w:ascii="Arial" w:hAnsi="Arial" w:cs="Arial"/>
          <w:color w:val="000000" w:themeColor="text1"/>
          <w:lang w:val="en-US"/>
        </w:rPr>
        <w:t xml:space="preserve"> x10</w:t>
      </w:r>
      <w:r w:rsidRPr="00B846EA">
        <w:rPr>
          <w:rFonts w:ascii="Arial" w:hAnsi="Arial" w:cs="Arial"/>
          <w:color w:val="000000" w:themeColor="text1"/>
          <w:vertAlign w:val="superscript"/>
          <w:lang w:val="en-US"/>
        </w:rPr>
        <w:t>5</w:t>
      </w:r>
      <w:r w:rsidRPr="00B846EA">
        <w:rPr>
          <w:rFonts w:ascii="Arial" w:hAnsi="Arial" w:cs="Arial"/>
          <w:color w:val="000000" w:themeColor="text1"/>
          <w:lang w:val="en-US"/>
        </w:rPr>
        <w:t xml:space="preserve"> for IE-1 antigen and &lt;5 IFN-</w:t>
      </w:r>
      <w:r w:rsidRPr="00B846EA">
        <w:rPr>
          <w:rFonts w:ascii="Arial" w:hAnsi="Arial" w:cs="Arial"/>
          <w:color w:val="000000" w:themeColor="text1"/>
          <w:lang w:val="es-ES_tradnl"/>
        </w:rPr>
        <w:t>γ</w:t>
      </w:r>
      <w:r w:rsidRPr="00B846EA">
        <w:rPr>
          <w:rFonts w:ascii="Arial" w:hAnsi="Arial" w:cs="Arial"/>
          <w:color w:val="000000" w:themeColor="text1"/>
          <w:lang w:val="en-US"/>
        </w:rPr>
        <w:t xml:space="preserve"> spots/</w:t>
      </w:r>
      <w:r w:rsidR="008E07A2" w:rsidRPr="00B846EA">
        <w:rPr>
          <w:rFonts w:ascii="Arial" w:hAnsi="Arial" w:cs="Arial"/>
          <w:color w:val="000000" w:themeColor="text1"/>
          <w:lang w:val="en-US"/>
        </w:rPr>
        <w:t>2,5</w:t>
      </w:r>
      <w:r w:rsidRPr="00B846EA">
        <w:rPr>
          <w:rFonts w:ascii="Arial" w:hAnsi="Arial" w:cs="Arial"/>
          <w:color w:val="000000" w:themeColor="text1"/>
          <w:lang w:val="en-US"/>
        </w:rPr>
        <w:t xml:space="preserve"> x10</w:t>
      </w:r>
      <w:r w:rsidRPr="00B846EA">
        <w:rPr>
          <w:rFonts w:ascii="Arial" w:hAnsi="Arial" w:cs="Arial"/>
          <w:color w:val="000000" w:themeColor="text1"/>
          <w:vertAlign w:val="superscript"/>
          <w:lang w:val="en-US"/>
        </w:rPr>
        <w:t>5</w:t>
      </w:r>
      <w:r w:rsidRPr="00B846EA">
        <w:rPr>
          <w:rFonts w:ascii="Arial" w:hAnsi="Arial" w:cs="Arial"/>
          <w:color w:val="000000" w:themeColor="text1"/>
          <w:lang w:val="en-US"/>
        </w:rPr>
        <w:t xml:space="preserve"> for pp65 antigen and positive control with </w:t>
      </w:r>
      <w:r w:rsidR="001F094D">
        <w:rPr>
          <w:rFonts w:ascii="Arial" w:hAnsi="Arial" w:cs="Arial"/>
          <w:color w:val="000000" w:themeColor="text1"/>
          <w:lang w:val="en-US"/>
        </w:rPr>
        <w:t>5-50</w:t>
      </w:r>
      <w:r w:rsidRPr="00B846EA">
        <w:rPr>
          <w:rFonts w:ascii="Arial" w:hAnsi="Arial" w:cs="Arial"/>
          <w:color w:val="000000" w:themeColor="text1"/>
          <w:lang w:val="en-US"/>
        </w:rPr>
        <w:t xml:space="preserve"> IFN-</w:t>
      </w:r>
      <w:r w:rsidRPr="00B846EA">
        <w:rPr>
          <w:rFonts w:ascii="Arial" w:hAnsi="Arial" w:cs="Arial"/>
          <w:color w:val="000000" w:themeColor="text1"/>
          <w:lang w:val="es-ES_tradnl"/>
        </w:rPr>
        <w:t>γ</w:t>
      </w:r>
      <w:r w:rsidRPr="00B846EA">
        <w:rPr>
          <w:rFonts w:ascii="Arial" w:hAnsi="Arial" w:cs="Arial"/>
          <w:color w:val="000000" w:themeColor="text1"/>
          <w:lang w:val="en-US"/>
        </w:rPr>
        <w:t xml:space="preserve"> spots/</w:t>
      </w:r>
      <w:r w:rsidR="008E07A2" w:rsidRPr="00B846EA">
        <w:rPr>
          <w:rFonts w:ascii="Arial" w:hAnsi="Arial" w:cs="Arial"/>
          <w:color w:val="000000" w:themeColor="text1"/>
          <w:lang w:val="en-US"/>
        </w:rPr>
        <w:t>2.5</w:t>
      </w:r>
      <w:r w:rsidRPr="00B846EA">
        <w:rPr>
          <w:rFonts w:ascii="Arial" w:hAnsi="Arial" w:cs="Arial"/>
          <w:color w:val="000000" w:themeColor="text1"/>
          <w:lang w:val="en-US"/>
        </w:rPr>
        <w:t xml:space="preserve"> x10</w:t>
      </w:r>
      <w:r w:rsidRPr="00B846EA">
        <w:rPr>
          <w:rFonts w:ascii="Arial" w:hAnsi="Arial" w:cs="Arial"/>
          <w:color w:val="000000" w:themeColor="text1"/>
          <w:vertAlign w:val="superscript"/>
          <w:lang w:val="en-US"/>
        </w:rPr>
        <w:t>5</w:t>
      </w:r>
      <w:r w:rsidRPr="00B846EA">
        <w:rPr>
          <w:rFonts w:ascii="Arial" w:hAnsi="Arial" w:cs="Arial"/>
          <w:color w:val="000000" w:themeColor="text1"/>
          <w:lang w:val="en-US"/>
        </w:rPr>
        <w:t xml:space="preserve"> for both antigens.</w:t>
      </w:r>
    </w:p>
    <w:p w14:paraId="40BDF927" w14:textId="77777777" w:rsidR="009D4A59" w:rsidRPr="00B846EA" w:rsidRDefault="009D4A59" w:rsidP="00B35E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 w:themeColor="text1"/>
          <w:lang w:val="en-US"/>
        </w:rPr>
      </w:pPr>
    </w:p>
    <w:p w14:paraId="08B0FB32" w14:textId="5BD48750" w:rsidR="00693A99" w:rsidRPr="00B846EA" w:rsidRDefault="009D4A59" w:rsidP="00B35E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proofErr w:type="spellStart"/>
      <w:r w:rsidRPr="00B846EA">
        <w:rPr>
          <w:rFonts w:ascii="Arial" w:hAnsi="Arial" w:cs="Arial"/>
        </w:rPr>
        <w:t>Samples</w:t>
      </w:r>
      <w:proofErr w:type="spellEnd"/>
      <w:r w:rsidRPr="00B846EA">
        <w:rPr>
          <w:rFonts w:ascii="Arial" w:hAnsi="Arial" w:cs="Arial"/>
        </w:rPr>
        <w:t xml:space="preserve"> </w:t>
      </w:r>
      <w:proofErr w:type="spellStart"/>
      <w:r w:rsidRPr="00B846EA">
        <w:rPr>
          <w:rFonts w:ascii="Arial" w:hAnsi="Arial" w:cs="Arial"/>
        </w:rPr>
        <w:t>yielding</w:t>
      </w:r>
      <w:proofErr w:type="spellEnd"/>
      <w:r w:rsidRPr="00B846EA">
        <w:rPr>
          <w:rFonts w:ascii="Arial" w:hAnsi="Arial" w:cs="Arial"/>
        </w:rPr>
        <w:t xml:space="preserve"> </w:t>
      </w:r>
      <w:proofErr w:type="spellStart"/>
      <w:r w:rsidRPr="00B846EA">
        <w:rPr>
          <w:rFonts w:ascii="Arial" w:hAnsi="Arial" w:cs="Arial"/>
        </w:rPr>
        <w:t>an</w:t>
      </w:r>
      <w:proofErr w:type="spellEnd"/>
      <w:r w:rsidRPr="00B846EA">
        <w:rPr>
          <w:rFonts w:ascii="Arial" w:hAnsi="Arial" w:cs="Arial"/>
        </w:rPr>
        <w:t xml:space="preserve"> </w:t>
      </w:r>
      <w:proofErr w:type="spellStart"/>
      <w:r w:rsidRPr="00B846EA">
        <w:rPr>
          <w:rFonts w:ascii="Arial" w:hAnsi="Arial" w:cs="Arial"/>
        </w:rPr>
        <w:t>undetermined</w:t>
      </w:r>
      <w:proofErr w:type="spellEnd"/>
      <w:r w:rsidRPr="00B846EA">
        <w:rPr>
          <w:rFonts w:ascii="Arial" w:hAnsi="Arial" w:cs="Arial"/>
        </w:rPr>
        <w:t xml:space="preserve"> T-SPOT.CMV </w:t>
      </w:r>
      <w:proofErr w:type="spellStart"/>
      <w:r w:rsidRPr="00B846EA">
        <w:rPr>
          <w:rFonts w:ascii="Arial" w:hAnsi="Arial" w:cs="Arial"/>
        </w:rPr>
        <w:t>result</w:t>
      </w:r>
      <w:proofErr w:type="spellEnd"/>
      <w:r w:rsidRPr="00B846EA">
        <w:rPr>
          <w:rFonts w:ascii="Arial" w:hAnsi="Arial" w:cs="Arial"/>
        </w:rPr>
        <w:t xml:space="preserve"> </w:t>
      </w:r>
      <w:proofErr w:type="spellStart"/>
      <w:r w:rsidRPr="00B846EA">
        <w:rPr>
          <w:rFonts w:ascii="Arial" w:hAnsi="Arial" w:cs="Arial"/>
        </w:rPr>
        <w:t>will</w:t>
      </w:r>
      <w:proofErr w:type="spellEnd"/>
      <w:r w:rsidRPr="00B846EA">
        <w:rPr>
          <w:rFonts w:ascii="Arial" w:hAnsi="Arial" w:cs="Arial"/>
        </w:rPr>
        <w:t xml:space="preserve"> be </w:t>
      </w:r>
      <w:proofErr w:type="spellStart"/>
      <w:r w:rsidRPr="00B846EA">
        <w:rPr>
          <w:rFonts w:ascii="Arial" w:hAnsi="Arial" w:cs="Arial"/>
        </w:rPr>
        <w:t>repeated</w:t>
      </w:r>
      <w:proofErr w:type="spellEnd"/>
      <w:r w:rsidRPr="00B846EA">
        <w:rPr>
          <w:rFonts w:ascii="Arial" w:hAnsi="Arial" w:cs="Arial"/>
        </w:rPr>
        <w:t xml:space="preserve">. </w:t>
      </w:r>
      <w:proofErr w:type="spellStart"/>
      <w:r w:rsidRPr="00B846EA">
        <w:rPr>
          <w:rFonts w:ascii="Arial" w:hAnsi="Arial" w:cs="Arial"/>
        </w:rPr>
        <w:t>Samples</w:t>
      </w:r>
      <w:proofErr w:type="spellEnd"/>
      <w:r w:rsidRPr="00B846EA">
        <w:rPr>
          <w:rFonts w:ascii="Arial" w:hAnsi="Arial" w:cs="Arial"/>
        </w:rPr>
        <w:t xml:space="preserve"> </w:t>
      </w:r>
      <w:proofErr w:type="spellStart"/>
      <w:r w:rsidRPr="00B846EA">
        <w:rPr>
          <w:rFonts w:ascii="Arial" w:hAnsi="Arial" w:cs="Arial"/>
        </w:rPr>
        <w:t>classified</w:t>
      </w:r>
      <w:proofErr w:type="spellEnd"/>
      <w:r w:rsidRPr="00B846EA">
        <w:rPr>
          <w:rFonts w:ascii="Arial" w:hAnsi="Arial" w:cs="Arial"/>
        </w:rPr>
        <w:t xml:space="preserve"> as </w:t>
      </w:r>
      <w:proofErr w:type="spellStart"/>
      <w:r w:rsidRPr="00B846EA">
        <w:rPr>
          <w:rFonts w:ascii="Arial" w:hAnsi="Arial" w:cs="Arial"/>
        </w:rPr>
        <w:t>unreactive</w:t>
      </w:r>
      <w:proofErr w:type="spellEnd"/>
      <w:r w:rsidRPr="00B846EA">
        <w:rPr>
          <w:rFonts w:ascii="Arial" w:hAnsi="Arial" w:cs="Arial"/>
        </w:rPr>
        <w:t xml:space="preserve"> </w:t>
      </w:r>
      <w:proofErr w:type="spellStart"/>
      <w:r w:rsidRPr="00B846EA">
        <w:rPr>
          <w:rFonts w:ascii="Arial" w:hAnsi="Arial" w:cs="Arial"/>
        </w:rPr>
        <w:t>will</w:t>
      </w:r>
      <w:proofErr w:type="spellEnd"/>
      <w:r w:rsidRPr="00B846EA">
        <w:rPr>
          <w:rFonts w:ascii="Arial" w:hAnsi="Arial" w:cs="Arial"/>
        </w:rPr>
        <w:t xml:space="preserve"> be </w:t>
      </w:r>
      <w:proofErr w:type="spellStart"/>
      <w:r w:rsidRPr="00B846EA">
        <w:rPr>
          <w:rFonts w:ascii="Arial" w:hAnsi="Arial" w:cs="Arial"/>
        </w:rPr>
        <w:t>considered</w:t>
      </w:r>
      <w:proofErr w:type="spellEnd"/>
      <w:r w:rsidRPr="00B846EA">
        <w:rPr>
          <w:rFonts w:ascii="Arial" w:hAnsi="Arial" w:cs="Arial"/>
        </w:rPr>
        <w:t xml:space="preserve"> </w:t>
      </w:r>
      <w:proofErr w:type="spellStart"/>
      <w:r w:rsidRPr="00B846EA">
        <w:rPr>
          <w:rFonts w:ascii="Arial" w:hAnsi="Arial" w:cs="Arial"/>
        </w:rPr>
        <w:t>high-risk</w:t>
      </w:r>
      <w:proofErr w:type="spellEnd"/>
      <w:r w:rsidRPr="00B846EA">
        <w:rPr>
          <w:rFonts w:ascii="Arial" w:hAnsi="Arial" w:cs="Arial"/>
        </w:rPr>
        <w:t xml:space="preserve">. </w:t>
      </w:r>
    </w:p>
    <w:p w14:paraId="6D6EF66B" w14:textId="54F047D4" w:rsidR="00693A99" w:rsidRPr="00B846EA" w:rsidRDefault="00693A99" w:rsidP="00B35E3E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  <w:color w:val="000000" w:themeColor="text1"/>
          <w:lang w:val="en-US"/>
        </w:rPr>
      </w:pPr>
    </w:p>
    <w:p w14:paraId="254D4633" w14:textId="4F410C91" w:rsidR="00693A99" w:rsidRPr="00B846EA" w:rsidRDefault="00693A99" w:rsidP="00B35E3E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val="en-US" w:eastAsia="es-ES_tradnl"/>
        </w:rPr>
      </w:pPr>
      <w:r w:rsidRPr="00B846EA">
        <w:rPr>
          <w:rFonts w:ascii="Arial" w:hAnsi="Arial" w:cs="Arial"/>
          <w:color w:val="000000" w:themeColor="text1"/>
          <w:lang w:val="en-US"/>
        </w:rPr>
        <w:t xml:space="preserve">Only 10-days post-transplant IFN-γ </w:t>
      </w:r>
      <w:r w:rsidR="00F566D9" w:rsidRPr="00B846EA">
        <w:rPr>
          <w:rFonts w:ascii="Arial" w:hAnsi="Arial" w:cs="Arial"/>
          <w:color w:val="000000" w:themeColor="text1"/>
          <w:lang w:val="en-US"/>
        </w:rPr>
        <w:t xml:space="preserve">T-SPOT.CMV </w:t>
      </w:r>
      <w:r w:rsidRPr="00B846EA">
        <w:rPr>
          <w:rFonts w:ascii="Arial" w:hAnsi="Arial" w:cs="Arial"/>
          <w:color w:val="000000" w:themeColor="text1"/>
          <w:lang w:val="en-US"/>
        </w:rPr>
        <w:t xml:space="preserve">assays </w:t>
      </w:r>
      <w:r w:rsidR="009D4A59" w:rsidRPr="00B846EA">
        <w:rPr>
          <w:rFonts w:ascii="Arial" w:hAnsi="Arial" w:cs="Arial"/>
          <w:color w:val="000000" w:themeColor="text1"/>
          <w:lang w:val="en-US"/>
        </w:rPr>
        <w:t>will be performed</w:t>
      </w:r>
      <w:r w:rsidRPr="00B846EA">
        <w:rPr>
          <w:rFonts w:ascii="Arial" w:hAnsi="Arial" w:cs="Arial"/>
          <w:color w:val="000000" w:themeColor="text1"/>
          <w:lang w:val="en-US"/>
        </w:rPr>
        <w:t xml:space="preserve"> using </w:t>
      </w:r>
      <w:r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 xml:space="preserve">fresh peripheral blood samples in group 1 in order to stratify patients, whereas pre-transplant, 10 days post-transplant from group 2 and end of treatment (three months) immune assays </w:t>
      </w:r>
      <w:r w:rsidR="009D4A59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 xml:space="preserve">will be performed using frozen samples, </w:t>
      </w:r>
      <w:r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 xml:space="preserve"> isolated and cryopreserved in liquid </w:t>
      </w:r>
      <w:r w:rsidR="002072A0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 xml:space="preserve"> </w:t>
      </w:r>
      <w:r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>nitrogen for its subsequent eval</w:t>
      </w:r>
      <w:r w:rsidR="009D4A59" w:rsidRPr="00B846EA">
        <w:rPr>
          <w:rFonts w:ascii="Arial" w:eastAsia="Times New Roman" w:hAnsi="Arial" w:cs="Arial"/>
          <w:color w:val="000000" w:themeColor="text1"/>
          <w:lang w:val="en-US" w:eastAsia="es-ES_tradnl"/>
        </w:rPr>
        <w:t xml:space="preserve">uation at the end of the trial. </w:t>
      </w:r>
    </w:p>
    <w:p w14:paraId="4ECF9867" w14:textId="0D168EE6" w:rsidR="0049550B" w:rsidRPr="00B846EA" w:rsidRDefault="0049550B" w:rsidP="00B35E3E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val="en-US" w:eastAsia="es-ES_tradnl"/>
        </w:rPr>
      </w:pPr>
    </w:p>
    <w:p w14:paraId="3799ED6F" w14:textId="0C7F13D9" w:rsidR="005420BE" w:rsidRPr="00B846EA" w:rsidRDefault="009D4A59" w:rsidP="00B35E3E">
      <w:pPr>
        <w:pStyle w:val="NormalWeb"/>
        <w:shd w:val="clear" w:color="auto" w:fill="FFFFFF"/>
        <w:spacing w:before="0" w:beforeAutospacing="0" w:after="195" w:afterAutospacing="0" w:line="480" w:lineRule="auto"/>
        <w:jc w:val="both"/>
        <w:textAlignment w:val="baseline"/>
        <w:rPr>
          <w:rFonts w:ascii="Arial" w:hAnsi="Arial" w:cs="Arial"/>
          <w:color w:val="000000" w:themeColor="text1"/>
          <w:lang w:val="en-US"/>
        </w:rPr>
      </w:pPr>
      <w:r w:rsidRPr="00B846EA">
        <w:rPr>
          <w:rFonts w:ascii="Arial" w:hAnsi="Arial" w:cs="Arial"/>
          <w:color w:val="000000" w:themeColor="text1"/>
          <w:lang w:val="en-US"/>
        </w:rPr>
        <w:t xml:space="preserve">Samples will </w:t>
      </w:r>
      <w:r w:rsidR="002072A0" w:rsidRPr="00B846EA">
        <w:rPr>
          <w:rFonts w:ascii="Arial" w:hAnsi="Arial" w:cs="Arial"/>
          <w:color w:val="000000" w:themeColor="text1"/>
          <w:lang w:val="en-US"/>
        </w:rPr>
        <w:t>a</w:t>
      </w:r>
      <w:r w:rsidRPr="00B846EA">
        <w:rPr>
          <w:rFonts w:ascii="Arial" w:hAnsi="Arial" w:cs="Arial"/>
          <w:color w:val="000000" w:themeColor="text1"/>
          <w:lang w:val="en-US"/>
        </w:rPr>
        <w:t>rrive</w:t>
      </w:r>
      <w:r w:rsidR="0049550B" w:rsidRPr="00B846EA">
        <w:rPr>
          <w:rFonts w:ascii="Arial" w:hAnsi="Arial" w:cs="Arial"/>
          <w:color w:val="000000" w:themeColor="text1"/>
          <w:lang w:val="en-US"/>
        </w:rPr>
        <w:t xml:space="preserve"> at the laboratory</w:t>
      </w:r>
      <w:r w:rsidRPr="00B846EA">
        <w:rPr>
          <w:rFonts w:ascii="Arial" w:hAnsi="Arial" w:cs="Arial"/>
          <w:color w:val="000000" w:themeColor="text1"/>
          <w:lang w:val="en-US"/>
        </w:rPr>
        <w:t xml:space="preserve"> within</w:t>
      </w:r>
      <w:r w:rsidR="0049550B" w:rsidRPr="00B846EA">
        <w:rPr>
          <w:rFonts w:ascii="Arial" w:hAnsi="Arial" w:cs="Arial"/>
          <w:color w:val="000000" w:themeColor="text1"/>
          <w:lang w:val="en-US"/>
        </w:rPr>
        <w:t xml:space="preserve"> 24 hours after extraction and</w:t>
      </w:r>
      <w:r w:rsidRPr="00B846EA">
        <w:rPr>
          <w:rFonts w:ascii="Arial" w:hAnsi="Arial" w:cs="Arial"/>
          <w:color w:val="000000" w:themeColor="text1"/>
          <w:lang w:val="en-US"/>
        </w:rPr>
        <w:t xml:space="preserve"> will </w:t>
      </w:r>
      <w:proofErr w:type="gramStart"/>
      <w:r w:rsidRPr="00B846EA">
        <w:rPr>
          <w:rFonts w:ascii="Arial" w:hAnsi="Arial" w:cs="Arial"/>
          <w:color w:val="000000" w:themeColor="text1"/>
          <w:lang w:val="en-US"/>
        </w:rPr>
        <w:t xml:space="preserve">be </w:t>
      </w:r>
      <w:r w:rsidR="0049550B" w:rsidRPr="00B846EA">
        <w:rPr>
          <w:rFonts w:ascii="Arial" w:hAnsi="Arial" w:cs="Arial"/>
          <w:color w:val="000000" w:themeColor="text1"/>
          <w:lang w:val="en-US"/>
        </w:rPr>
        <w:t xml:space="preserve"> processed</w:t>
      </w:r>
      <w:proofErr w:type="gramEnd"/>
      <w:r w:rsidR="0049550B" w:rsidRPr="00B846EA">
        <w:rPr>
          <w:rFonts w:ascii="Arial" w:hAnsi="Arial" w:cs="Arial"/>
          <w:color w:val="000000" w:themeColor="text1"/>
          <w:lang w:val="en-US"/>
        </w:rPr>
        <w:t xml:space="preserve"> within 32 hours with the T-cell </w:t>
      </w:r>
      <w:r w:rsidR="00AD7C14" w:rsidRPr="00B846EA">
        <w:rPr>
          <w:rFonts w:ascii="Arial" w:hAnsi="Arial" w:cs="Arial"/>
          <w:color w:val="000000" w:themeColor="text1"/>
          <w:lang w:val="en-US"/>
        </w:rPr>
        <w:t>Ex</w:t>
      </w:r>
      <w:r w:rsidR="0049550B" w:rsidRPr="00B846EA">
        <w:rPr>
          <w:rFonts w:ascii="Arial" w:hAnsi="Arial" w:cs="Arial"/>
          <w:color w:val="000000" w:themeColor="text1"/>
          <w:lang w:val="en-US"/>
        </w:rPr>
        <w:t>tend</w:t>
      </w:r>
      <w:r w:rsidR="005420BE" w:rsidRPr="00B846EA">
        <w:rPr>
          <w:rFonts w:ascii="Arial" w:hAnsi="Arial" w:cs="Arial"/>
          <w:color w:val="000000" w:themeColor="text1"/>
          <w:lang w:val="en-US"/>
        </w:rPr>
        <w:t>®</w:t>
      </w:r>
      <w:r w:rsidR="0049550B" w:rsidRPr="00B846EA">
        <w:rPr>
          <w:rFonts w:ascii="Arial" w:hAnsi="Arial" w:cs="Arial"/>
          <w:color w:val="000000" w:themeColor="text1"/>
          <w:lang w:val="en-US"/>
        </w:rPr>
        <w:t xml:space="preserve"> reagent.</w:t>
      </w:r>
      <w:r w:rsidR="005420BE" w:rsidRPr="00B846EA">
        <w:rPr>
          <w:rFonts w:ascii="Arial" w:hAnsi="Arial" w:cs="Arial"/>
          <w:color w:val="000000" w:themeColor="text1"/>
          <w:lang w:val="en-US"/>
        </w:rPr>
        <w:t xml:space="preserve"> </w:t>
      </w:r>
      <w:r w:rsidR="00B33540" w:rsidRPr="00B846EA">
        <w:rPr>
          <w:rFonts w:ascii="Arial" w:hAnsi="Arial" w:cs="Arial"/>
          <w:color w:val="000000" w:themeColor="text1"/>
          <w:lang w:val="en-US"/>
        </w:rPr>
        <w:t xml:space="preserve">This </w:t>
      </w:r>
      <w:r w:rsidR="005420BE" w:rsidRPr="00B846EA">
        <w:rPr>
          <w:rFonts w:ascii="Arial" w:hAnsi="Arial" w:cs="Arial"/>
          <w:color w:val="000000" w:themeColor="text1"/>
          <w:lang w:val="en-US"/>
        </w:rPr>
        <w:t>reagent is an antibody complex that is added to blood samples in the laboratory immediately before running the T-SPOT.TB assay</w:t>
      </w:r>
      <w:r w:rsidR="00DB7EE1" w:rsidRPr="00B846EA">
        <w:rPr>
          <w:rFonts w:ascii="Arial" w:hAnsi="Arial" w:cs="Arial"/>
          <w:color w:val="000000" w:themeColor="text1"/>
          <w:lang w:val="en-US"/>
        </w:rPr>
        <w:t xml:space="preserve"> and </w:t>
      </w:r>
      <w:r w:rsidR="005420BE" w:rsidRPr="00B846EA">
        <w:rPr>
          <w:rFonts w:ascii="Arial" w:hAnsi="Arial" w:cs="Arial"/>
          <w:color w:val="000000" w:themeColor="text1"/>
          <w:lang w:val="en-US"/>
        </w:rPr>
        <w:t xml:space="preserve">allows blood samples to be processed up to 32 hours after </w:t>
      </w:r>
      <w:proofErr w:type="spellStart"/>
      <w:r w:rsidR="005420BE" w:rsidRPr="00B846EA">
        <w:rPr>
          <w:rFonts w:ascii="Arial" w:hAnsi="Arial" w:cs="Arial"/>
          <w:color w:val="000000" w:themeColor="text1"/>
          <w:lang w:val="en-US"/>
        </w:rPr>
        <w:t>venepuncture</w:t>
      </w:r>
      <w:proofErr w:type="spellEnd"/>
      <w:r w:rsidR="005420BE" w:rsidRPr="00B846EA">
        <w:rPr>
          <w:rFonts w:ascii="Arial" w:hAnsi="Arial" w:cs="Arial"/>
          <w:color w:val="000000" w:themeColor="text1"/>
          <w:lang w:val="en-US"/>
        </w:rPr>
        <w:t xml:space="preserve"> without affecting the accuracy of the test.</w:t>
      </w:r>
    </w:p>
    <w:p w14:paraId="63BE5E9E" w14:textId="21445F16" w:rsidR="00D152B8" w:rsidRPr="00B846EA" w:rsidRDefault="00D152B8" w:rsidP="00B35E3E">
      <w:pPr>
        <w:shd w:val="clear" w:color="auto" w:fill="FFFFFF"/>
        <w:spacing w:after="75" w:line="480" w:lineRule="auto"/>
        <w:jc w:val="both"/>
        <w:textAlignment w:val="baseline"/>
        <w:rPr>
          <w:rFonts w:ascii="Arial" w:hAnsi="Arial" w:cs="Arial"/>
          <w:color w:val="000000" w:themeColor="text1"/>
          <w:lang w:val="en-US"/>
        </w:rPr>
      </w:pPr>
    </w:p>
    <w:p w14:paraId="225FE5DD" w14:textId="51FDB627" w:rsidR="00D152B8" w:rsidRPr="00B846EA" w:rsidRDefault="00D152B8" w:rsidP="00B35E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i/>
          <w:iCs/>
          <w:color w:val="000000" w:themeColor="text1"/>
          <w:lang w:val="en-US"/>
        </w:rPr>
      </w:pPr>
      <w:r w:rsidRPr="00B846EA">
        <w:rPr>
          <w:rFonts w:ascii="Arial" w:hAnsi="Arial" w:cs="Arial"/>
          <w:i/>
          <w:iCs/>
          <w:color w:val="000000" w:themeColor="text1"/>
          <w:lang w:val="en-US"/>
        </w:rPr>
        <w:t>CMV Serology and Microbiological studies</w:t>
      </w:r>
      <w:r w:rsidR="008B621E" w:rsidRPr="00B846EA">
        <w:rPr>
          <w:rFonts w:ascii="Arial" w:hAnsi="Arial" w:cs="Arial"/>
          <w:i/>
          <w:iCs/>
          <w:color w:val="000000" w:themeColor="text1"/>
          <w:lang w:val="en-US"/>
        </w:rPr>
        <w:t>:</w:t>
      </w:r>
    </w:p>
    <w:p w14:paraId="2B7C254C" w14:textId="52A88F06" w:rsidR="00334E07" w:rsidRPr="00B846EA" w:rsidRDefault="00D152B8" w:rsidP="00B35E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B846EA">
        <w:rPr>
          <w:rFonts w:ascii="Arial" w:hAnsi="Arial" w:cs="Arial"/>
          <w:color w:val="000000" w:themeColor="text1"/>
          <w:lang w:val="en-US"/>
        </w:rPr>
        <w:t xml:space="preserve">Pre-transplant CMV serological status of all donor and recipients </w:t>
      </w:r>
      <w:r w:rsidR="009D4A59" w:rsidRPr="00B846EA">
        <w:rPr>
          <w:rFonts w:ascii="Arial" w:hAnsi="Arial" w:cs="Arial"/>
          <w:color w:val="000000" w:themeColor="text1"/>
          <w:lang w:val="en-US"/>
        </w:rPr>
        <w:t xml:space="preserve">will be </w:t>
      </w:r>
      <w:r w:rsidRPr="00B846EA">
        <w:rPr>
          <w:rFonts w:ascii="Arial" w:hAnsi="Arial" w:cs="Arial"/>
          <w:color w:val="000000" w:themeColor="text1"/>
          <w:lang w:val="en-US"/>
        </w:rPr>
        <w:t>determined using</w:t>
      </w:r>
      <w:r w:rsidR="00D11C0C" w:rsidRPr="00B846EA">
        <w:rPr>
          <w:rFonts w:ascii="Arial" w:hAnsi="Arial" w:cs="Arial"/>
          <w:color w:val="000000" w:themeColor="text1"/>
          <w:lang w:val="en-US"/>
        </w:rPr>
        <w:t xml:space="preserve"> </w:t>
      </w:r>
      <w:r w:rsidRPr="00B846EA">
        <w:rPr>
          <w:rFonts w:ascii="Arial" w:hAnsi="Arial" w:cs="Arial"/>
          <w:color w:val="000000" w:themeColor="text1"/>
          <w:lang w:val="en-US"/>
        </w:rPr>
        <w:t xml:space="preserve">a Human Anti-CMV IgG Enzyme-Linked </w:t>
      </w:r>
      <w:proofErr w:type="spellStart"/>
      <w:r w:rsidRPr="00B846EA">
        <w:rPr>
          <w:rFonts w:ascii="Arial" w:hAnsi="Arial" w:cs="Arial"/>
          <w:color w:val="000000" w:themeColor="text1"/>
          <w:lang w:val="en-US"/>
        </w:rPr>
        <w:t>ImmunoSorbent</w:t>
      </w:r>
      <w:proofErr w:type="spellEnd"/>
      <w:r w:rsidRPr="00B846EA">
        <w:rPr>
          <w:rFonts w:ascii="Arial" w:hAnsi="Arial" w:cs="Arial"/>
          <w:color w:val="000000" w:themeColor="text1"/>
          <w:lang w:val="en-US"/>
        </w:rPr>
        <w:t xml:space="preserve"> Assay (ELISA) ki</w:t>
      </w:r>
      <w:r w:rsidR="008005F9" w:rsidRPr="00B846EA">
        <w:rPr>
          <w:rFonts w:ascii="Arial" w:hAnsi="Arial" w:cs="Arial"/>
          <w:color w:val="000000" w:themeColor="text1"/>
          <w:lang w:val="en-US"/>
        </w:rPr>
        <w:t>t</w:t>
      </w:r>
      <w:r w:rsidR="00334E07" w:rsidRPr="00B846EA">
        <w:rPr>
          <w:rFonts w:ascii="Arial" w:hAnsi="Arial" w:cs="Arial"/>
          <w:color w:val="000000" w:themeColor="text1"/>
          <w:lang w:val="en-US"/>
        </w:rPr>
        <w:t xml:space="preserve"> in each center.</w:t>
      </w:r>
    </w:p>
    <w:p w14:paraId="058A521D" w14:textId="31ECE825" w:rsidR="00D152B8" w:rsidRPr="00B846EA" w:rsidRDefault="00D152B8" w:rsidP="00B35E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B846EA">
        <w:rPr>
          <w:rFonts w:ascii="Arial" w:hAnsi="Arial" w:cs="Arial"/>
          <w:color w:val="000000" w:themeColor="text1"/>
          <w:lang w:val="en-US"/>
        </w:rPr>
        <w:t>Surveillance of CMV</w:t>
      </w:r>
      <w:r w:rsidR="00162B78" w:rsidRPr="00B846E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162EDF" w:rsidRPr="00B846EA">
        <w:rPr>
          <w:rFonts w:ascii="Arial" w:hAnsi="Arial" w:cs="Arial"/>
          <w:color w:val="000000" w:themeColor="text1"/>
          <w:lang w:val="en-US"/>
        </w:rPr>
        <w:t>DNAemia</w:t>
      </w:r>
      <w:proofErr w:type="spellEnd"/>
      <w:r w:rsidR="00162EDF" w:rsidRPr="00B846EA">
        <w:rPr>
          <w:rFonts w:ascii="Arial" w:hAnsi="Arial" w:cs="Arial"/>
          <w:color w:val="000000" w:themeColor="text1"/>
          <w:lang w:val="en-US"/>
        </w:rPr>
        <w:t xml:space="preserve"> </w:t>
      </w:r>
      <w:r w:rsidR="009D4A59" w:rsidRPr="00B846EA">
        <w:rPr>
          <w:rFonts w:ascii="Arial" w:hAnsi="Arial" w:cs="Arial"/>
          <w:color w:val="000000" w:themeColor="text1"/>
          <w:lang w:val="en-US"/>
        </w:rPr>
        <w:t xml:space="preserve">will be </w:t>
      </w:r>
      <w:r w:rsidRPr="00B846EA">
        <w:rPr>
          <w:rFonts w:ascii="Arial" w:hAnsi="Arial" w:cs="Arial"/>
          <w:color w:val="000000" w:themeColor="text1"/>
          <w:lang w:val="en-US"/>
        </w:rPr>
        <w:t>performed with real-time polymerase</w:t>
      </w:r>
    </w:p>
    <w:p w14:paraId="7B4FE1FE" w14:textId="336775F7" w:rsidR="00A074B9" w:rsidRPr="00B846EA" w:rsidRDefault="00D152B8" w:rsidP="00B35E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B846EA">
        <w:rPr>
          <w:rFonts w:ascii="Arial" w:hAnsi="Arial" w:cs="Arial"/>
          <w:color w:val="000000" w:themeColor="text1"/>
          <w:lang w:val="en-US"/>
        </w:rPr>
        <w:lastRenderedPageBreak/>
        <w:t>chain reaction kit in plasma or whole blood</w:t>
      </w:r>
      <w:r w:rsidR="00C73A64" w:rsidRPr="00B846EA">
        <w:rPr>
          <w:rFonts w:ascii="Arial" w:hAnsi="Arial" w:cs="Arial"/>
          <w:color w:val="000000" w:themeColor="text1"/>
          <w:lang w:val="en-US"/>
        </w:rPr>
        <w:t xml:space="preserve"> </w:t>
      </w:r>
      <w:r w:rsidR="000902E2" w:rsidRPr="00B846EA">
        <w:rPr>
          <w:rFonts w:ascii="Arial" w:hAnsi="Arial" w:cs="Arial"/>
          <w:color w:val="000000" w:themeColor="text1"/>
          <w:lang w:val="en-US"/>
        </w:rPr>
        <w:t xml:space="preserve">in each center laboratory. </w:t>
      </w:r>
      <w:r w:rsidR="00F12632" w:rsidRPr="00B846EA">
        <w:rPr>
          <w:rFonts w:ascii="Arial" w:hAnsi="Arial" w:cs="Arial"/>
          <w:color w:val="000000" w:themeColor="text1"/>
          <w:lang w:val="en-US"/>
        </w:rPr>
        <w:t xml:space="preserve">Results </w:t>
      </w:r>
      <w:r w:rsidR="009D4A59" w:rsidRPr="00B846EA">
        <w:rPr>
          <w:rFonts w:ascii="Arial" w:hAnsi="Arial" w:cs="Arial"/>
          <w:color w:val="000000" w:themeColor="text1"/>
          <w:lang w:val="en-US"/>
        </w:rPr>
        <w:t xml:space="preserve">will be </w:t>
      </w:r>
      <w:proofErr w:type="spellStart"/>
      <w:r w:rsidR="00F12632" w:rsidRPr="00B846EA">
        <w:rPr>
          <w:rFonts w:ascii="Arial" w:hAnsi="Arial" w:cs="Arial"/>
          <w:color w:val="000000" w:themeColor="text1"/>
          <w:lang w:val="en-US"/>
        </w:rPr>
        <w:t>de</w:t>
      </w:r>
      <w:r w:rsidR="004474BB" w:rsidRPr="00B846EA">
        <w:rPr>
          <w:rFonts w:ascii="Arial" w:hAnsi="Arial" w:cs="Arial"/>
          <w:color w:val="000000" w:themeColor="text1"/>
          <w:lang w:val="en-US"/>
        </w:rPr>
        <w:t>s</w:t>
      </w:r>
      <w:r w:rsidR="00F12632" w:rsidRPr="00B846EA">
        <w:rPr>
          <w:rFonts w:ascii="Arial" w:hAnsi="Arial" w:cs="Arial"/>
          <w:color w:val="000000" w:themeColor="text1"/>
          <w:lang w:val="en-US"/>
        </w:rPr>
        <w:t>picted</w:t>
      </w:r>
      <w:proofErr w:type="spellEnd"/>
      <w:r w:rsidR="00F12632" w:rsidRPr="00B846EA">
        <w:rPr>
          <w:rFonts w:ascii="Arial" w:hAnsi="Arial" w:cs="Arial"/>
          <w:color w:val="000000" w:themeColor="text1"/>
          <w:lang w:val="en-US"/>
        </w:rPr>
        <w:t xml:space="preserve"> as IU/mL</w:t>
      </w:r>
      <w:r w:rsidR="00F73ACC" w:rsidRPr="00B846EA">
        <w:rPr>
          <w:rFonts w:ascii="Arial" w:hAnsi="Arial" w:cs="Arial"/>
          <w:color w:val="000000" w:themeColor="text1"/>
          <w:lang w:val="en-US"/>
        </w:rPr>
        <w:t xml:space="preserve"> or copies/</w:t>
      </w:r>
      <w:proofErr w:type="spellStart"/>
      <w:r w:rsidR="00F73ACC" w:rsidRPr="00B846EA">
        <w:rPr>
          <w:rFonts w:ascii="Arial" w:hAnsi="Arial" w:cs="Arial"/>
          <w:color w:val="000000" w:themeColor="text1"/>
          <w:lang w:val="en-US"/>
        </w:rPr>
        <w:t>mL</w:t>
      </w:r>
      <w:r w:rsidR="009E5CCE" w:rsidRPr="00B846EA">
        <w:rPr>
          <w:rFonts w:ascii="Arial" w:hAnsi="Arial" w:cs="Arial"/>
          <w:color w:val="000000" w:themeColor="text1"/>
          <w:lang w:val="en-US"/>
        </w:rPr>
        <w:t>.</w:t>
      </w:r>
      <w:proofErr w:type="spellEnd"/>
      <w:r w:rsidR="009E5CCE" w:rsidRPr="00B846EA">
        <w:rPr>
          <w:rFonts w:ascii="Arial" w:hAnsi="Arial" w:cs="Arial"/>
          <w:color w:val="000000" w:themeColor="text1"/>
          <w:lang w:val="en-US"/>
        </w:rPr>
        <w:t xml:space="preserve"> </w:t>
      </w:r>
      <w:r w:rsidR="00F73ACC" w:rsidRPr="00B846EA">
        <w:rPr>
          <w:rFonts w:ascii="Arial" w:hAnsi="Arial" w:cs="Arial"/>
          <w:color w:val="000000" w:themeColor="text1"/>
          <w:lang w:val="en-US"/>
        </w:rPr>
        <w:t xml:space="preserve">CMV </w:t>
      </w:r>
      <w:proofErr w:type="spellStart"/>
      <w:r w:rsidR="00F73ACC" w:rsidRPr="00B846EA">
        <w:rPr>
          <w:rFonts w:ascii="Arial" w:hAnsi="Arial" w:cs="Arial"/>
          <w:color w:val="000000" w:themeColor="text1"/>
          <w:lang w:val="en-US"/>
        </w:rPr>
        <w:t>DNAemia</w:t>
      </w:r>
      <w:proofErr w:type="spellEnd"/>
      <w:r w:rsidR="00F73ACC" w:rsidRPr="00B846EA">
        <w:rPr>
          <w:rFonts w:ascii="Arial" w:hAnsi="Arial" w:cs="Arial"/>
          <w:color w:val="000000" w:themeColor="text1"/>
          <w:lang w:val="en-US"/>
        </w:rPr>
        <w:t xml:space="preserve"> </w:t>
      </w:r>
      <w:r w:rsidR="009D4A59" w:rsidRPr="00B846EA">
        <w:rPr>
          <w:rFonts w:ascii="Arial" w:hAnsi="Arial" w:cs="Arial"/>
          <w:color w:val="000000" w:themeColor="text1"/>
          <w:lang w:val="en-US"/>
        </w:rPr>
        <w:t xml:space="preserve">will be </w:t>
      </w:r>
      <w:r w:rsidR="00F73ACC" w:rsidRPr="00B846EA">
        <w:rPr>
          <w:rFonts w:ascii="Arial" w:hAnsi="Arial" w:cs="Arial"/>
          <w:color w:val="000000" w:themeColor="text1"/>
          <w:lang w:val="en-US"/>
        </w:rPr>
        <w:t>considered positive</w:t>
      </w:r>
      <w:r w:rsidR="004474BB" w:rsidRPr="00B846EA">
        <w:rPr>
          <w:rFonts w:ascii="Arial" w:hAnsi="Arial" w:cs="Arial"/>
          <w:color w:val="000000" w:themeColor="text1"/>
          <w:lang w:val="en-US"/>
        </w:rPr>
        <w:t xml:space="preserve"> </w:t>
      </w:r>
      <w:r w:rsidR="00F73ACC" w:rsidRPr="00B846EA">
        <w:rPr>
          <w:rFonts w:ascii="Arial" w:hAnsi="Arial" w:cs="Arial"/>
          <w:color w:val="000000" w:themeColor="text1"/>
          <w:lang w:val="en-US"/>
        </w:rPr>
        <w:t>when detectable above</w:t>
      </w:r>
      <w:r w:rsidR="00C853A1" w:rsidRPr="00B846EA">
        <w:rPr>
          <w:rFonts w:ascii="Arial" w:hAnsi="Arial" w:cs="Arial"/>
          <w:color w:val="000000" w:themeColor="text1"/>
          <w:lang w:val="en-US"/>
        </w:rPr>
        <w:t xml:space="preserve"> 1000 IU / mL or</w:t>
      </w:r>
      <w:r w:rsidR="004474BB" w:rsidRPr="00B846EA">
        <w:rPr>
          <w:rFonts w:ascii="Arial" w:hAnsi="Arial" w:cs="Arial"/>
          <w:color w:val="000000" w:themeColor="text1"/>
          <w:lang w:val="en-US"/>
        </w:rPr>
        <w:t xml:space="preserve"> </w:t>
      </w:r>
      <w:r w:rsidR="00C853A1" w:rsidRPr="00B846EA">
        <w:rPr>
          <w:rFonts w:ascii="Arial" w:hAnsi="Arial" w:cs="Arial"/>
          <w:color w:val="000000" w:themeColor="text1"/>
          <w:lang w:val="en-US"/>
        </w:rPr>
        <w:t xml:space="preserve">500 copies / mL in plasma or above 4500 IU / mL or 3000 copies / mL in </w:t>
      </w:r>
      <w:r w:rsidR="00B3109A" w:rsidRPr="00B846EA">
        <w:rPr>
          <w:rFonts w:ascii="Arial" w:hAnsi="Arial" w:cs="Arial"/>
          <w:color w:val="000000" w:themeColor="text1"/>
          <w:lang w:val="en-US"/>
        </w:rPr>
        <w:t xml:space="preserve">whole </w:t>
      </w:r>
      <w:r w:rsidR="00C853A1" w:rsidRPr="00B846EA">
        <w:rPr>
          <w:rFonts w:ascii="Arial" w:hAnsi="Arial" w:cs="Arial"/>
          <w:color w:val="000000" w:themeColor="text1"/>
          <w:lang w:val="en-US"/>
        </w:rPr>
        <w:t>blood</w:t>
      </w:r>
      <w:r w:rsidR="00C853A1" w:rsidRPr="00B846EA">
        <w:rPr>
          <w:rFonts w:ascii="Arial" w:eastAsiaTheme="minorEastAsia" w:hAnsi="Arial" w:cs="Arial"/>
          <w:color w:val="000000" w:themeColor="text1"/>
          <w:lang w:val="en-US"/>
        </w:rPr>
        <w:t xml:space="preserve">. </w:t>
      </w:r>
    </w:p>
    <w:p w14:paraId="3574BB1D" w14:textId="27367FA9" w:rsidR="0049550B" w:rsidRPr="00B846EA" w:rsidRDefault="0049550B" w:rsidP="00B35E3E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val="en-US" w:eastAsia="es-ES_tradnl"/>
        </w:rPr>
      </w:pPr>
    </w:p>
    <w:p w14:paraId="06DE1714" w14:textId="6644ADEC" w:rsidR="00090098" w:rsidRPr="00B846EA" w:rsidRDefault="007469C7" w:rsidP="00B35E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i/>
          <w:iCs/>
          <w:color w:val="000000" w:themeColor="text1"/>
          <w:lang w:val="en-US"/>
        </w:rPr>
      </w:pPr>
      <w:r w:rsidRPr="00B846EA">
        <w:rPr>
          <w:rFonts w:ascii="Arial" w:hAnsi="Arial" w:cs="Arial"/>
          <w:i/>
          <w:iCs/>
          <w:color w:val="000000" w:themeColor="text1"/>
          <w:lang w:val="en-US"/>
        </w:rPr>
        <w:t>CMV Preventive strategies</w:t>
      </w:r>
      <w:r w:rsidR="004474BB" w:rsidRPr="00B846EA">
        <w:rPr>
          <w:rFonts w:ascii="Arial" w:hAnsi="Arial" w:cs="Arial"/>
          <w:i/>
          <w:iCs/>
          <w:color w:val="000000" w:themeColor="text1"/>
          <w:lang w:val="en-US"/>
        </w:rPr>
        <w:t>:</w:t>
      </w:r>
    </w:p>
    <w:p w14:paraId="39058475" w14:textId="3F096F15" w:rsidR="00550555" w:rsidRPr="00B846EA" w:rsidRDefault="00090098" w:rsidP="00B35E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B846EA">
        <w:rPr>
          <w:rFonts w:ascii="Arial" w:hAnsi="Arial" w:cs="Arial"/>
          <w:color w:val="000000" w:themeColor="text1"/>
          <w:lang w:val="en-US"/>
        </w:rPr>
        <w:t>Patients randomized at ELISPOT group</w:t>
      </w:r>
      <w:r w:rsidR="00550555" w:rsidRPr="00B846EA">
        <w:rPr>
          <w:rFonts w:ascii="Arial" w:hAnsi="Arial" w:cs="Arial"/>
          <w:color w:val="000000" w:themeColor="text1"/>
          <w:lang w:val="en-US"/>
        </w:rPr>
        <w:t xml:space="preserve"> </w:t>
      </w:r>
      <w:r w:rsidR="00070831" w:rsidRPr="00B846EA">
        <w:rPr>
          <w:rFonts w:ascii="Arial" w:hAnsi="Arial" w:cs="Arial"/>
          <w:color w:val="000000" w:themeColor="text1"/>
          <w:lang w:val="en-US"/>
        </w:rPr>
        <w:t xml:space="preserve">(group 1) </w:t>
      </w:r>
      <w:r w:rsidR="00550555" w:rsidRPr="00B846EA">
        <w:rPr>
          <w:rFonts w:ascii="Arial" w:hAnsi="Arial" w:cs="Arial"/>
          <w:color w:val="000000" w:themeColor="text1"/>
          <w:lang w:val="en-US"/>
        </w:rPr>
        <w:t xml:space="preserve">will be stratified based on the result of the IFN-γ </w:t>
      </w:r>
      <w:r w:rsidR="00F566D9" w:rsidRPr="00B846EA">
        <w:rPr>
          <w:rFonts w:ascii="Arial" w:hAnsi="Arial" w:cs="Arial"/>
          <w:color w:val="000000" w:themeColor="text1"/>
          <w:lang w:val="en-US"/>
        </w:rPr>
        <w:t>T-SPOT.CMV</w:t>
      </w:r>
      <w:r w:rsidR="00F566D9" w:rsidRPr="00B846EA" w:rsidDel="00F566D9">
        <w:rPr>
          <w:rFonts w:ascii="Arial" w:hAnsi="Arial" w:cs="Arial"/>
          <w:color w:val="000000" w:themeColor="text1"/>
          <w:lang w:val="en-US"/>
        </w:rPr>
        <w:t xml:space="preserve"> </w:t>
      </w:r>
      <w:r w:rsidR="00550555" w:rsidRPr="00B846EA">
        <w:rPr>
          <w:rFonts w:ascii="Arial" w:hAnsi="Arial" w:cs="Arial"/>
          <w:color w:val="000000" w:themeColor="text1"/>
          <w:lang w:val="en-US"/>
        </w:rPr>
        <w:t>assays into high risk of developing CMV infection or low risk of developing CMV infection.</w:t>
      </w:r>
    </w:p>
    <w:p w14:paraId="05CA7830" w14:textId="09146341" w:rsidR="00B36DA2" w:rsidRPr="00B846EA" w:rsidRDefault="00550555" w:rsidP="00B35E3E">
      <w:pPr>
        <w:pStyle w:val="Normal1"/>
        <w:spacing w:before="120" w:after="48" w:line="480" w:lineRule="auto"/>
        <w:jc w:val="both"/>
        <w:rPr>
          <w:rFonts w:ascii="Arial" w:hAnsi="Arial" w:cs="Arial"/>
          <w:color w:val="000000" w:themeColor="text1"/>
          <w:lang w:val="en-US" w:eastAsia="en-US"/>
        </w:rPr>
      </w:pPr>
      <w:r w:rsidRPr="00B846EA">
        <w:rPr>
          <w:rFonts w:ascii="Arial" w:hAnsi="Arial" w:cs="Arial"/>
          <w:color w:val="000000" w:themeColor="text1"/>
          <w:lang w:val="en-US"/>
        </w:rPr>
        <w:t xml:space="preserve">Those </w:t>
      </w:r>
      <w:r w:rsidR="00652C7E" w:rsidRPr="00B846EA">
        <w:rPr>
          <w:rFonts w:ascii="Arial" w:hAnsi="Arial" w:cs="Arial"/>
          <w:color w:val="000000" w:themeColor="text1"/>
          <w:lang w:val="en-US"/>
        </w:rPr>
        <w:t xml:space="preserve">patients classified as high risk for developing CMV infection </w:t>
      </w:r>
      <w:r w:rsidR="00070831" w:rsidRPr="00B846EA">
        <w:rPr>
          <w:rFonts w:ascii="Arial" w:hAnsi="Arial" w:cs="Arial"/>
          <w:color w:val="000000" w:themeColor="text1"/>
          <w:lang w:val="en-US"/>
        </w:rPr>
        <w:t xml:space="preserve">(group 1 a) </w:t>
      </w:r>
      <w:r w:rsidR="00652C7E" w:rsidRPr="00B846EA">
        <w:rPr>
          <w:rFonts w:ascii="Arial" w:hAnsi="Arial" w:cs="Arial"/>
          <w:color w:val="000000" w:themeColor="text1"/>
          <w:lang w:val="en-US"/>
        </w:rPr>
        <w:t xml:space="preserve">due to a high risk, undetermined or unreactive result </w:t>
      </w:r>
      <w:r w:rsidR="00090098" w:rsidRPr="00B846EA">
        <w:rPr>
          <w:rFonts w:ascii="Arial" w:hAnsi="Arial" w:cs="Arial"/>
          <w:color w:val="000000" w:themeColor="text1"/>
          <w:lang w:val="en-US"/>
        </w:rPr>
        <w:t xml:space="preserve">will receive </w:t>
      </w:r>
      <w:r w:rsidR="00090098" w:rsidRPr="00B846EA">
        <w:rPr>
          <w:rFonts w:ascii="Arial" w:hAnsi="Arial" w:cs="Arial"/>
          <w:b/>
          <w:bCs/>
          <w:color w:val="000000" w:themeColor="text1"/>
          <w:lang w:val="en-US"/>
        </w:rPr>
        <w:t>universal prophylaxis</w:t>
      </w:r>
      <w:r w:rsidR="00090098" w:rsidRPr="00B846EA">
        <w:rPr>
          <w:rFonts w:ascii="Arial" w:hAnsi="Arial" w:cs="Arial"/>
          <w:color w:val="000000" w:themeColor="text1"/>
          <w:lang w:val="en-US"/>
        </w:rPr>
        <w:t xml:space="preserve"> </w:t>
      </w:r>
      <w:r w:rsidR="000C3CBE" w:rsidRPr="00B846EA">
        <w:rPr>
          <w:rFonts w:ascii="Arial" w:hAnsi="Arial" w:cs="Arial"/>
          <w:color w:val="000000" w:themeColor="text1"/>
          <w:lang w:val="en-US"/>
        </w:rPr>
        <w:t xml:space="preserve">with </w:t>
      </w:r>
      <w:r w:rsidR="00B36DA2" w:rsidRPr="00B846EA">
        <w:rPr>
          <w:rFonts w:ascii="Arial" w:hAnsi="Arial" w:cs="Arial"/>
          <w:color w:val="000000" w:themeColor="text1"/>
          <w:lang w:val="en-US" w:eastAsia="en-US"/>
        </w:rPr>
        <w:t>valganciclovir 900 mg / 24h for 3 months</w:t>
      </w:r>
      <w:r w:rsidR="005B2955" w:rsidRPr="00B846EA">
        <w:rPr>
          <w:rFonts w:ascii="Arial" w:hAnsi="Arial" w:cs="Arial"/>
          <w:color w:val="000000" w:themeColor="text1"/>
          <w:lang w:val="en-US" w:eastAsia="en-US"/>
        </w:rPr>
        <w:t xml:space="preserve"> (</w:t>
      </w:r>
      <w:r w:rsidR="005B2955" w:rsidRPr="00B846EA">
        <w:rPr>
          <w:rFonts w:ascii="Arial" w:hAnsi="Arial" w:cs="Arial"/>
          <w:color w:val="000000" w:themeColor="text1"/>
          <w:lang w:val="en-US"/>
        </w:rPr>
        <w:t>and adjusted to the glomerular filtrate rate of the patient)</w:t>
      </w:r>
      <w:r w:rsidR="00B36DA2" w:rsidRPr="00B846EA">
        <w:rPr>
          <w:rFonts w:ascii="Arial" w:hAnsi="Arial" w:cs="Arial"/>
          <w:color w:val="000000" w:themeColor="text1"/>
          <w:lang w:val="en-US" w:eastAsia="en-US"/>
        </w:rPr>
        <w:t>. In case prophylaxis can’t be done orally, intravenous ganciclovir will be used at 5-10 mg / kg / day for 1-3 months.</w:t>
      </w:r>
    </w:p>
    <w:p w14:paraId="4878A88B" w14:textId="4B477044" w:rsidR="00984E7E" w:rsidRPr="00B846EA" w:rsidRDefault="009D398A" w:rsidP="00B35E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B846EA">
        <w:rPr>
          <w:rFonts w:ascii="Arial" w:hAnsi="Arial" w:cs="Arial"/>
          <w:color w:val="000000" w:themeColor="text1"/>
          <w:lang w:val="en-US"/>
        </w:rPr>
        <w:t xml:space="preserve">In these patients, treatment will begin once the result is obtained, between days 10 and 15 post-transplant, </w:t>
      </w:r>
      <w:proofErr w:type="gramStart"/>
      <w:r w:rsidRPr="00B846EA">
        <w:rPr>
          <w:rFonts w:ascii="Arial" w:hAnsi="Arial" w:cs="Arial"/>
          <w:color w:val="000000" w:themeColor="text1"/>
          <w:lang w:val="en-US"/>
        </w:rPr>
        <w:t>taking into account</w:t>
      </w:r>
      <w:proofErr w:type="gramEnd"/>
      <w:r w:rsidRPr="00B846EA">
        <w:rPr>
          <w:rFonts w:ascii="Arial" w:hAnsi="Arial" w:cs="Arial"/>
          <w:color w:val="000000" w:themeColor="text1"/>
          <w:lang w:val="en-US"/>
        </w:rPr>
        <w:t xml:space="preserve"> that there is a window of 10 +/-2 days for ext</w:t>
      </w:r>
      <w:r w:rsidR="00A65E1B" w:rsidRPr="00B846EA">
        <w:rPr>
          <w:rFonts w:ascii="Arial" w:hAnsi="Arial" w:cs="Arial"/>
          <w:color w:val="000000" w:themeColor="text1"/>
          <w:lang w:val="en-US"/>
        </w:rPr>
        <w:t xml:space="preserve">raction of the sample, which will be </w:t>
      </w:r>
      <w:r w:rsidRPr="00B846EA">
        <w:rPr>
          <w:rFonts w:ascii="Arial" w:hAnsi="Arial" w:cs="Arial"/>
          <w:color w:val="000000" w:themeColor="text1"/>
          <w:lang w:val="en-US"/>
        </w:rPr>
        <w:t xml:space="preserve">received in 24-36 hours in the central laboratory, obtaining the result 48 hours after the extraction. If the sample is not valid, the extraction and determination can be repeated, </w:t>
      </w:r>
      <w:proofErr w:type="gramStart"/>
      <w:r w:rsidRPr="00B846EA">
        <w:rPr>
          <w:rFonts w:ascii="Arial" w:hAnsi="Arial" w:cs="Arial"/>
          <w:color w:val="000000" w:themeColor="text1"/>
          <w:lang w:val="en-US"/>
        </w:rPr>
        <w:t>as long as</w:t>
      </w:r>
      <w:proofErr w:type="gramEnd"/>
      <w:r w:rsidRPr="00B846EA">
        <w:rPr>
          <w:rFonts w:ascii="Arial" w:hAnsi="Arial" w:cs="Arial"/>
          <w:color w:val="000000" w:themeColor="text1"/>
          <w:lang w:val="en-US"/>
        </w:rPr>
        <w:t xml:space="preserve"> it allows prophylaxis to begin at the latest on day 15 post-transplant, so as not to increase the risk of </w:t>
      </w:r>
      <w:r w:rsidR="00070831" w:rsidRPr="00B846EA">
        <w:rPr>
          <w:rFonts w:ascii="Arial" w:hAnsi="Arial" w:cs="Arial"/>
          <w:color w:val="000000" w:themeColor="text1"/>
          <w:lang w:val="en-US"/>
        </w:rPr>
        <w:t xml:space="preserve">CMV </w:t>
      </w:r>
      <w:r w:rsidRPr="00B846EA">
        <w:rPr>
          <w:rFonts w:ascii="Arial" w:hAnsi="Arial" w:cs="Arial"/>
          <w:color w:val="000000" w:themeColor="text1"/>
          <w:lang w:val="en-US"/>
        </w:rPr>
        <w:t>infection.</w:t>
      </w:r>
    </w:p>
    <w:p w14:paraId="157671D6" w14:textId="1D927566" w:rsidR="00090098" w:rsidRPr="00B846EA" w:rsidRDefault="00090098" w:rsidP="00B35E3E">
      <w:pPr>
        <w:pStyle w:val="Normal1"/>
        <w:spacing w:before="120" w:after="48" w:line="48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B846EA">
        <w:rPr>
          <w:rFonts w:ascii="Arial" w:hAnsi="Arial" w:cs="Arial"/>
          <w:color w:val="000000" w:themeColor="text1"/>
          <w:lang w:val="en-US"/>
        </w:rPr>
        <w:t xml:space="preserve">Patients randomized to control group (group 2) will receive </w:t>
      </w:r>
      <w:r w:rsidRPr="00B846EA">
        <w:rPr>
          <w:rFonts w:ascii="Arial" w:hAnsi="Arial" w:cs="Arial"/>
          <w:b/>
          <w:color w:val="000000" w:themeColor="text1"/>
          <w:lang w:val="en-US"/>
        </w:rPr>
        <w:t xml:space="preserve">universal prophylaxis </w:t>
      </w:r>
      <w:r w:rsidR="00A34D62" w:rsidRPr="00B846EA">
        <w:rPr>
          <w:rFonts w:ascii="Arial" w:hAnsi="Arial" w:cs="Arial"/>
          <w:color w:val="000000" w:themeColor="text1"/>
          <w:lang w:val="en-US"/>
        </w:rPr>
        <w:t xml:space="preserve">with </w:t>
      </w:r>
      <w:r w:rsidR="00A34D62" w:rsidRPr="00B846EA">
        <w:rPr>
          <w:rFonts w:ascii="Arial" w:hAnsi="Arial" w:cs="Arial"/>
          <w:color w:val="000000" w:themeColor="text1"/>
          <w:lang w:val="en-US" w:eastAsia="en-US"/>
        </w:rPr>
        <w:t>valganciclovir 900 mg / 24h for 3 months (</w:t>
      </w:r>
      <w:r w:rsidR="00A34D62" w:rsidRPr="00B846EA">
        <w:rPr>
          <w:rFonts w:ascii="Arial" w:hAnsi="Arial" w:cs="Arial"/>
          <w:color w:val="000000" w:themeColor="text1"/>
          <w:lang w:val="en-US"/>
        </w:rPr>
        <w:t>and adjusted to the glomerular filtrate rate of the patient)</w:t>
      </w:r>
      <w:r w:rsidR="00A34D62" w:rsidRPr="00B846EA">
        <w:rPr>
          <w:rFonts w:ascii="Arial" w:hAnsi="Arial" w:cs="Arial"/>
          <w:color w:val="000000" w:themeColor="text1"/>
          <w:lang w:val="en-US" w:eastAsia="en-US"/>
        </w:rPr>
        <w:t xml:space="preserve">. In case prophylaxis can’t be done orally, intravenous ganciclovir will be used at 5-10 mg / kg / day for 1-3 months. </w:t>
      </w:r>
      <w:r w:rsidR="00A34D62" w:rsidRPr="00B846EA">
        <w:rPr>
          <w:rFonts w:ascii="Arial" w:hAnsi="Arial" w:cs="Arial"/>
          <w:color w:val="000000" w:themeColor="text1"/>
          <w:lang w:val="en-US"/>
        </w:rPr>
        <w:lastRenderedPageBreak/>
        <w:t xml:space="preserve">Prophylaxis </w:t>
      </w:r>
      <w:r w:rsidRPr="00B846EA">
        <w:rPr>
          <w:rFonts w:ascii="Arial" w:hAnsi="Arial" w:cs="Arial"/>
          <w:color w:val="000000" w:themeColor="text1"/>
          <w:lang w:val="en-US"/>
        </w:rPr>
        <w:t>can be started after sample extraction (day 10 +/- 2 days post-HT) and no later than day 15 post-HT, therefore maintaining the same window period to start prophylaxis in both groups</w:t>
      </w:r>
      <w:r w:rsidR="00E8069C" w:rsidRPr="00B846EA">
        <w:rPr>
          <w:rFonts w:ascii="Arial" w:hAnsi="Arial" w:cs="Arial"/>
          <w:color w:val="000000" w:themeColor="text1"/>
          <w:lang w:val="en-US"/>
        </w:rPr>
        <w:t xml:space="preserve"> (group 1a and </w:t>
      </w:r>
      <w:r w:rsidR="00EE0007" w:rsidRPr="00B846EA">
        <w:rPr>
          <w:rFonts w:ascii="Arial" w:hAnsi="Arial" w:cs="Arial"/>
          <w:color w:val="000000" w:themeColor="text1"/>
          <w:lang w:val="en-US"/>
        </w:rPr>
        <w:t>control group).</w:t>
      </w:r>
    </w:p>
    <w:p w14:paraId="16AE8600" w14:textId="77777777" w:rsidR="00D70154" w:rsidRPr="00B846EA" w:rsidRDefault="00D70154" w:rsidP="00B35E3E">
      <w:pPr>
        <w:pStyle w:val="Normal1"/>
        <w:spacing w:before="120" w:after="48" w:line="480" w:lineRule="auto"/>
        <w:jc w:val="both"/>
        <w:rPr>
          <w:rFonts w:ascii="Arial" w:hAnsi="Arial" w:cs="Arial"/>
          <w:color w:val="000000" w:themeColor="text1"/>
          <w:lang w:val="en-US"/>
        </w:rPr>
      </w:pPr>
    </w:p>
    <w:p w14:paraId="39B4549D" w14:textId="405778F7" w:rsidR="00B1162A" w:rsidRPr="00B846EA" w:rsidRDefault="00B1162A" w:rsidP="00B35E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i/>
          <w:iCs/>
          <w:color w:val="000000" w:themeColor="text1"/>
          <w:lang w:val="en-US"/>
        </w:rPr>
      </w:pPr>
      <w:r w:rsidRPr="00B846EA">
        <w:rPr>
          <w:rFonts w:ascii="Arial" w:hAnsi="Arial" w:cs="Arial"/>
          <w:i/>
          <w:iCs/>
          <w:color w:val="000000" w:themeColor="text1"/>
          <w:lang w:val="en-US"/>
        </w:rPr>
        <w:t>Surveillance of CMV</w:t>
      </w:r>
      <w:r w:rsidR="00D70154" w:rsidRPr="00B846EA">
        <w:rPr>
          <w:rFonts w:ascii="Arial" w:hAnsi="Arial" w:cs="Arial"/>
          <w:i/>
          <w:iCs/>
          <w:color w:val="000000" w:themeColor="text1"/>
          <w:lang w:val="en-US"/>
        </w:rPr>
        <w:t>:</w:t>
      </w:r>
    </w:p>
    <w:p w14:paraId="75B369BD" w14:textId="6C3F516F" w:rsidR="006B3C3C" w:rsidRPr="00B846EA" w:rsidRDefault="006B3C3C" w:rsidP="00B35E3E">
      <w:pPr>
        <w:pStyle w:val="Normal1"/>
        <w:widowControl w:val="0"/>
        <w:spacing w:after="260" w:line="48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B846EA">
        <w:rPr>
          <w:rFonts w:ascii="Arial" w:hAnsi="Arial" w:cs="Arial"/>
          <w:color w:val="000000" w:themeColor="text1"/>
          <w:lang w:val="en-US"/>
        </w:rPr>
        <w:t>After stopp</w:t>
      </w:r>
      <w:r w:rsidR="007B718C" w:rsidRPr="00B846EA">
        <w:rPr>
          <w:rFonts w:ascii="Arial" w:hAnsi="Arial" w:cs="Arial"/>
          <w:color w:val="000000" w:themeColor="text1"/>
          <w:lang w:val="en-US"/>
        </w:rPr>
        <w:t>ing prophylaxis in both groups,</w:t>
      </w:r>
      <w:r w:rsidRPr="00B846EA">
        <w:rPr>
          <w:rFonts w:ascii="Arial" w:hAnsi="Arial" w:cs="Arial"/>
          <w:color w:val="000000" w:themeColor="text1"/>
          <w:lang w:val="en-US"/>
        </w:rPr>
        <w:t xml:space="preserve"> patients will be followed preemptively with </w:t>
      </w:r>
      <w:r w:rsidR="008912FD" w:rsidRPr="00B846EA">
        <w:rPr>
          <w:rFonts w:ascii="Arial" w:hAnsi="Arial" w:cs="Arial"/>
          <w:color w:val="000000" w:themeColor="text1"/>
          <w:lang w:val="en-US"/>
        </w:rPr>
        <w:t>CMV Quantitative Nucleic Acid Testing (</w:t>
      </w:r>
      <w:r w:rsidRPr="00B846EA">
        <w:rPr>
          <w:rFonts w:ascii="Arial" w:hAnsi="Arial" w:cs="Arial"/>
          <w:color w:val="000000" w:themeColor="text1"/>
          <w:lang w:val="en-US"/>
        </w:rPr>
        <w:t>QNAT</w:t>
      </w:r>
      <w:r w:rsidR="008912FD" w:rsidRPr="00B846EA">
        <w:rPr>
          <w:rFonts w:ascii="Arial" w:hAnsi="Arial" w:cs="Arial"/>
          <w:color w:val="000000" w:themeColor="text1"/>
          <w:lang w:val="en-US"/>
        </w:rPr>
        <w:t>)</w:t>
      </w:r>
      <w:r w:rsidRPr="00B846EA">
        <w:rPr>
          <w:rFonts w:ascii="Arial" w:hAnsi="Arial" w:cs="Arial"/>
          <w:color w:val="000000" w:themeColor="text1"/>
          <w:lang w:val="en-US"/>
        </w:rPr>
        <w:t xml:space="preserve"> every </w:t>
      </w:r>
      <w:r w:rsidR="00920182" w:rsidRPr="00B846EA">
        <w:rPr>
          <w:rFonts w:ascii="Arial" w:hAnsi="Arial" w:cs="Arial"/>
          <w:color w:val="000000" w:themeColor="text1"/>
          <w:lang w:val="en-US"/>
        </w:rPr>
        <w:t xml:space="preserve">month until month 6 </w:t>
      </w:r>
      <w:r w:rsidR="00AF359A" w:rsidRPr="00B846EA">
        <w:rPr>
          <w:rFonts w:ascii="Arial" w:hAnsi="Arial" w:cs="Arial"/>
          <w:color w:val="000000" w:themeColor="text1"/>
          <w:lang w:val="en-US"/>
        </w:rPr>
        <w:t xml:space="preserve">and at month 12 after </w:t>
      </w:r>
      <w:r w:rsidR="00920182" w:rsidRPr="00B846EA">
        <w:rPr>
          <w:rFonts w:ascii="Arial" w:hAnsi="Arial" w:cs="Arial"/>
          <w:color w:val="000000" w:themeColor="text1"/>
          <w:lang w:val="en-US"/>
        </w:rPr>
        <w:t>transplantation</w:t>
      </w:r>
      <w:r w:rsidR="00AF359A" w:rsidRPr="00B846EA">
        <w:rPr>
          <w:rFonts w:ascii="Arial" w:hAnsi="Arial" w:cs="Arial"/>
          <w:color w:val="000000" w:themeColor="text1"/>
          <w:lang w:val="en-US"/>
        </w:rPr>
        <w:t xml:space="preserve">. </w:t>
      </w:r>
    </w:p>
    <w:p w14:paraId="0E8EDF91" w14:textId="67F74474" w:rsidR="009F4A43" w:rsidRPr="00B846EA" w:rsidRDefault="009F4A43" w:rsidP="00B35E3E">
      <w:pPr>
        <w:pStyle w:val="Normal1"/>
        <w:widowControl w:val="0"/>
        <w:spacing w:after="260" w:line="480" w:lineRule="auto"/>
        <w:jc w:val="both"/>
        <w:rPr>
          <w:rFonts w:ascii="Arial" w:hAnsi="Arial" w:cs="Arial"/>
          <w:color w:val="000000" w:themeColor="text1"/>
          <w:lang w:val="en-US" w:eastAsia="en-US"/>
        </w:rPr>
      </w:pPr>
      <w:r w:rsidRPr="00B846EA">
        <w:rPr>
          <w:rFonts w:ascii="Arial" w:hAnsi="Arial" w:cs="Arial"/>
          <w:color w:val="000000" w:themeColor="text1"/>
          <w:lang w:val="en-US" w:eastAsia="en-US"/>
        </w:rPr>
        <w:t xml:space="preserve">Patients randomized to the intervention group who present a low-risk </w:t>
      </w:r>
      <w:r w:rsidR="00F566D9" w:rsidRPr="00B846EA">
        <w:rPr>
          <w:rFonts w:ascii="Arial" w:hAnsi="Arial" w:cs="Arial"/>
          <w:color w:val="000000" w:themeColor="text1"/>
          <w:lang w:val="en-US"/>
        </w:rPr>
        <w:t>T-SPOT.CMV</w:t>
      </w:r>
      <w:r w:rsidR="00F566D9" w:rsidRPr="00B846EA" w:rsidDel="00F566D9">
        <w:rPr>
          <w:rFonts w:ascii="Arial" w:hAnsi="Arial" w:cs="Arial"/>
          <w:color w:val="000000" w:themeColor="text1"/>
          <w:lang w:val="en-US" w:eastAsia="en-US"/>
        </w:rPr>
        <w:t xml:space="preserve"> </w:t>
      </w:r>
      <w:r w:rsidRPr="00B846EA">
        <w:rPr>
          <w:rFonts w:ascii="Arial" w:hAnsi="Arial" w:cs="Arial"/>
          <w:color w:val="000000" w:themeColor="text1"/>
          <w:lang w:val="en-US" w:eastAsia="en-US"/>
        </w:rPr>
        <w:t xml:space="preserve">result (group 1b) will follow a </w:t>
      </w:r>
      <w:r w:rsidRPr="00B846EA">
        <w:rPr>
          <w:rFonts w:ascii="Arial" w:hAnsi="Arial" w:cs="Arial"/>
          <w:b/>
          <w:color w:val="000000" w:themeColor="text1"/>
          <w:lang w:val="en-US" w:eastAsia="en-US"/>
        </w:rPr>
        <w:t>preemptive therapy</w:t>
      </w:r>
      <w:r w:rsidR="00920182" w:rsidRPr="00B846EA">
        <w:rPr>
          <w:rFonts w:ascii="Arial" w:hAnsi="Arial" w:cs="Arial"/>
          <w:color w:val="000000" w:themeColor="text1"/>
          <w:lang w:val="en-US" w:eastAsia="en-US"/>
        </w:rPr>
        <w:t xml:space="preserve">, </w:t>
      </w:r>
      <w:r w:rsidR="00920182" w:rsidRPr="00B846EA">
        <w:rPr>
          <w:rFonts w:ascii="Arial" w:hAnsi="Arial" w:cs="Arial"/>
          <w:color w:val="000000" w:themeColor="text1"/>
          <w:lang w:val="en-US"/>
        </w:rPr>
        <w:t xml:space="preserve">consisting in weekly </w:t>
      </w:r>
      <w:r w:rsidR="00EC3AEA" w:rsidRPr="00B846EA">
        <w:rPr>
          <w:rFonts w:ascii="Arial" w:hAnsi="Arial" w:cs="Arial"/>
          <w:color w:val="000000" w:themeColor="text1"/>
          <w:lang w:val="en-US"/>
        </w:rPr>
        <w:t xml:space="preserve">QNAT </w:t>
      </w:r>
      <w:r w:rsidR="00920182" w:rsidRPr="00B846EA">
        <w:rPr>
          <w:rFonts w:ascii="Arial" w:hAnsi="Arial" w:cs="Arial"/>
          <w:color w:val="000000" w:themeColor="text1"/>
          <w:lang w:val="en-US"/>
        </w:rPr>
        <w:t>during the first month, every two weeks until month 3</w:t>
      </w:r>
      <w:r w:rsidR="00C44DEE" w:rsidRPr="00B846EA">
        <w:rPr>
          <w:rFonts w:ascii="Arial" w:hAnsi="Arial" w:cs="Arial"/>
          <w:color w:val="000000" w:themeColor="text1"/>
          <w:lang w:val="en-US"/>
        </w:rPr>
        <w:t xml:space="preserve">, </w:t>
      </w:r>
      <w:r w:rsidR="00920182" w:rsidRPr="00B846EA">
        <w:rPr>
          <w:rFonts w:ascii="Arial" w:hAnsi="Arial" w:cs="Arial"/>
          <w:color w:val="000000" w:themeColor="text1"/>
          <w:lang w:val="en-US"/>
        </w:rPr>
        <w:t>monthly until month</w:t>
      </w:r>
      <w:r w:rsidR="00C44DEE" w:rsidRPr="00B846EA">
        <w:rPr>
          <w:rFonts w:ascii="Arial" w:hAnsi="Arial" w:cs="Arial"/>
          <w:color w:val="000000" w:themeColor="text1"/>
          <w:lang w:val="en-US"/>
        </w:rPr>
        <w:t xml:space="preserve"> 6 and at month 12 after transplantation. </w:t>
      </w:r>
      <w:r w:rsidRPr="00B846EA">
        <w:rPr>
          <w:rFonts w:ascii="Arial" w:hAnsi="Arial" w:cs="Arial"/>
          <w:color w:val="000000" w:themeColor="text1"/>
          <w:lang w:val="en-US" w:eastAsia="en-US"/>
        </w:rPr>
        <w:t xml:space="preserve">Antiviral treatment will be initiated in those patients with a </w:t>
      </w:r>
      <w:proofErr w:type="spellStart"/>
      <w:r w:rsidR="00000DE4" w:rsidRPr="00B846EA">
        <w:rPr>
          <w:rFonts w:ascii="Arial" w:hAnsi="Arial" w:cs="Arial"/>
          <w:color w:val="000000" w:themeColor="text1"/>
          <w:lang w:val="en-US" w:eastAsia="en-US"/>
        </w:rPr>
        <w:t>DNA</w:t>
      </w:r>
      <w:r w:rsidR="00811CFF" w:rsidRPr="00B846EA">
        <w:rPr>
          <w:rFonts w:ascii="Arial" w:hAnsi="Arial" w:cs="Arial"/>
          <w:color w:val="000000" w:themeColor="text1"/>
          <w:lang w:val="en-US" w:eastAsia="en-US"/>
        </w:rPr>
        <w:t>e</w:t>
      </w:r>
      <w:r w:rsidR="00000DE4" w:rsidRPr="00B846EA">
        <w:rPr>
          <w:rFonts w:ascii="Arial" w:hAnsi="Arial" w:cs="Arial"/>
          <w:color w:val="000000" w:themeColor="text1"/>
          <w:lang w:val="en-US" w:eastAsia="en-US"/>
        </w:rPr>
        <w:t>mia</w:t>
      </w:r>
      <w:proofErr w:type="spellEnd"/>
      <w:r w:rsidR="00000DE4" w:rsidRPr="00B846EA">
        <w:rPr>
          <w:rFonts w:ascii="Arial" w:hAnsi="Arial" w:cs="Arial"/>
          <w:color w:val="000000" w:themeColor="text1"/>
          <w:lang w:val="en-US" w:eastAsia="en-US"/>
        </w:rPr>
        <w:t xml:space="preserve"> above </w:t>
      </w:r>
      <w:r w:rsidRPr="00B846EA">
        <w:rPr>
          <w:rFonts w:ascii="Arial" w:hAnsi="Arial" w:cs="Arial"/>
          <w:color w:val="000000" w:themeColor="text1"/>
          <w:lang w:val="en-US" w:eastAsia="en-US"/>
        </w:rPr>
        <w:t xml:space="preserve">≥1000 IU / mL or ≥500 copies / mL in plasma (or ≥4500 IU / mL or ≥3000 copies / mL in </w:t>
      </w:r>
      <w:r w:rsidR="00000DE4" w:rsidRPr="00B846EA">
        <w:rPr>
          <w:rFonts w:ascii="Arial" w:hAnsi="Arial" w:cs="Arial"/>
          <w:color w:val="000000" w:themeColor="text1"/>
          <w:lang w:val="en-US" w:eastAsia="en-US"/>
        </w:rPr>
        <w:t xml:space="preserve">whole </w:t>
      </w:r>
      <w:r w:rsidRPr="00B846EA">
        <w:rPr>
          <w:rFonts w:ascii="Arial" w:hAnsi="Arial" w:cs="Arial"/>
          <w:color w:val="000000" w:themeColor="text1"/>
          <w:lang w:val="en-US" w:eastAsia="en-US"/>
        </w:rPr>
        <w:t xml:space="preserve">blood) without associated symptoms or the presence of any level of replication with associated viral syndrome or CMV disease, ultimately being at the discretion of the attending physician.  </w:t>
      </w:r>
      <w:r w:rsidR="00372AD4" w:rsidRPr="00B846EA">
        <w:rPr>
          <w:rFonts w:ascii="Arial" w:hAnsi="Arial" w:cs="Arial"/>
          <w:color w:val="000000" w:themeColor="text1"/>
          <w:lang w:val="en-US" w:eastAsia="en-US"/>
        </w:rPr>
        <w:t>P</w:t>
      </w:r>
      <w:r w:rsidRPr="00B846EA">
        <w:rPr>
          <w:rFonts w:ascii="Arial" w:hAnsi="Arial" w:cs="Arial"/>
          <w:color w:val="000000" w:themeColor="text1"/>
          <w:lang w:val="en-US" w:eastAsia="en-US"/>
        </w:rPr>
        <w:t xml:space="preserve">atients will be </w:t>
      </w:r>
      <w:r w:rsidR="00236BF9" w:rsidRPr="00B846EA">
        <w:rPr>
          <w:rFonts w:ascii="Arial" w:hAnsi="Arial" w:cs="Arial"/>
          <w:color w:val="000000" w:themeColor="text1"/>
          <w:lang w:val="en-US" w:eastAsia="en-US"/>
        </w:rPr>
        <w:t xml:space="preserve">treated </w:t>
      </w:r>
      <w:proofErr w:type="gramStart"/>
      <w:r w:rsidR="00236BF9" w:rsidRPr="00B846EA">
        <w:rPr>
          <w:rFonts w:ascii="Arial" w:hAnsi="Arial" w:cs="Arial"/>
          <w:color w:val="000000" w:themeColor="text1"/>
          <w:lang w:val="en-US" w:eastAsia="en-US"/>
        </w:rPr>
        <w:t xml:space="preserve">with </w:t>
      </w:r>
      <w:r w:rsidRPr="00B846EA">
        <w:rPr>
          <w:rFonts w:ascii="Arial" w:hAnsi="Arial" w:cs="Arial"/>
          <w:color w:val="000000" w:themeColor="text1"/>
          <w:lang w:val="en-US" w:eastAsia="en-US"/>
        </w:rPr>
        <w:t xml:space="preserve"> valganciclovir</w:t>
      </w:r>
      <w:proofErr w:type="gramEnd"/>
      <w:r w:rsidRPr="00B846EA">
        <w:rPr>
          <w:rFonts w:ascii="Arial" w:hAnsi="Arial" w:cs="Arial"/>
          <w:color w:val="000000" w:themeColor="text1"/>
          <w:lang w:val="en-US" w:eastAsia="en-US"/>
        </w:rPr>
        <w:t xml:space="preserve"> 900 mg / 12 h or ganciclovir 5 mg / kg every 12 </w:t>
      </w:r>
      <w:proofErr w:type="gramStart"/>
      <w:r w:rsidRPr="00B846EA">
        <w:rPr>
          <w:rFonts w:ascii="Arial" w:hAnsi="Arial" w:cs="Arial"/>
          <w:color w:val="000000" w:themeColor="text1"/>
          <w:lang w:val="en-US" w:eastAsia="en-US"/>
        </w:rPr>
        <w:t xml:space="preserve">hours </w:t>
      </w:r>
      <w:r w:rsidR="00CE1525" w:rsidRPr="00B846EA">
        <w:rPr>
          <w:rFonts w:ascii="Arial" w:hAnsi="Arial" w:cs="Arial"/>
          <w:color w:val="000000" w:themeColor="text1"/>
          <w:lang w:val="en-US" w:eastAsia="en-US"/>
        </w:rPr>
        <w:t xml:space="preserve"> (</w:t>
      </w:r>
      <w:proofErr w:type="gramEnd"/>
      <w:r w:rsidR="00CE1525" w:rsidRPr="00B846EA">
        <w:rPr>
          <w:rFonts w:ascii="Arial" w:hAnsi="Arial" w:cs="Arial"/>
          <w:color w:val="000000" w:themeColor="text1"/>
          <w:lang w:val="en-US" w:eastAsia="en-US"/>
        </w:rPr>
        <w:t xml:space="preserve">adjusted according to renal function and possible adverse events, at the discretion of the attending physician), </w:t>
      </w:r>
      <w:r w:rsidRPr="00B846EA">
        <w:rPr>
          <w:rFonts w:ascii="Arial" w:hAnsi="Arial" w:cs="Arial"/>
          <w:color w:val="000000" w:themeColor="text1"/>
          <w:lang w:val="en-US" w:eastAsia="en-US"/>
        </w:rPr>
        <w:t xml:space="preserve">a minimum of 14 days in case of asymptomatic </w:t>
      </w:r>
      <w:proofErr w:type="spellStart"/>
      <w:r w:rsidR="009E3325" w:rsidRPr="00B846EA">
        <w:rPr>
          <w:rFonts w:ascii="Arial" w:hAnsi="Arial" w:cs="Arial"/>
          <w:color w:val="000000" w:themeColor="text1"/>
          <w:lang w:val="en-US" w:eastAsia="en-US"/>
        </w:rPr>
        <w:t>DNAemia</w:t>
      </w:r>
      <w:proofErr w:type="spellEnd"/>
      <w:r w:rsidR="009E3325" w:rsidRPr="00B846EA">
        <w:rPr>
          <w:rFonts w:ascii="Arial" w:hAnsi="Arial" w:cs="Arial"/>
          <w:color w:val="000000" w:themeColor="text1"/>
          <w:lang w:val="en-US" w:eastAsia="en-US"/>
        </w:rPr>
        <w:t xml:space="preserve"> </w:t>
      </w:r>
      <w:r w:rsidRPr="00B846EA">
        <w:rPr>
          <w:rFonts w:ascii="Arial" w:hAnsi="Arial" w:cs="Arial"/>
          <w:color w:val="000000" w:themeColor="text1"/>
          <w:lang w:val="en-US" w:eastAsia="en-US"/>
        </w:rPr>
        <w:t xml:space="preserve">or a minimum of 21 days in case of </w:t>
      </w:r>
      <w:r w:rsidR="009E3325" w:rsidRPr="00B846EA">
        <w:rPr>
          <w:rFonts w:ascii="Arial" w:hAnsi="Arial" w:cs="Arial"/>
          <w:color w:val="000000" w:themeColor="text1"/>
          <w:lang w:val="en-US" w:eastAsia="en-US"/>
        </w:rPr>
        <w:t xml:space="preserve">CMV viral syndrome o CMV disease. </w:t>
      </w:r>
      <w:r w:rsidRPr="00B846EA">
        <w:rPr>
          <w:rFonts w:ascii="Arial" w:hAnsi="Arial" w:cs="Arial"/>
          <w:color w:val="000000" w:themeColor="text1"/>
          <w:lang w:val="en-US" w:eastAsia="en-US"/>
        </w:rPr>
        <w:t>If patient</w:t>
      </w:r>
      <w:r w:rsidR="00372AD4" w:rsidRPr="00B846EA">
        <w:rPr>
          <w:rFonts w:ascii="Arial" w:hAnsi="Arial" w:cs="Arial"/>
          <w:color w:val="000000" w:themeColor="text1"/>
          <w:lang w:val="en-US" w:eastAsia="en-US"/>
        </w:rPr>
        <w:t>s</w:t>
      </w:r>
      <w:r w:rsidRPr="00B846EA">
        <w:rPr>
          <w:rFonts w:ascii="Arial" w:hAnsi="Arial" w:cs="Arial"/>
          <w:color w:val="000000" w:themeColor="text1"/>
          <w:lang w:val="en-US" w:eastAsia="en-US"/>
        </w:rPr>
        <w:t xml:space="preserve"> cannot receive valganciclovir or ganciclovir, </w:t>
      </w:r>
      <w:r w:rsidR="00CE1525" w:rsidRPr="00B846EA">
        <w:rPr>
          <w:rFonts w:ascii="Arial" w:hAnsi="Arial" w:cs="Arial"/>
          <w:color w:val="000000" w:themeColor="text1"/>
          <w:lang w:val="en-US" w:eastAsia="en-US"/>
        </w:rPr>
        <w:t xml:space="preserve">other antivirals are allowed. </w:t>
      </w:r>
      <w:r w:rsidRPr="00B846EA">
        <w:rPr>
          <w:rFonts w:ascii="Arial" w:hAnsi="Arial" w:cs="Arial"/>
          <w:color w:val="000000" w:themeColor="text1"/>
          <w:lang w:val="en-US" w:eastAsia="en-US"/>
        </w:rPr>
        <w:t xml:space="preserve">To stop treatment, 2 negative viral load results must be obtained in 2 consecutive determinations obtained at least 1 week apart. </w:t>
      </w:r>
    </w:p>
    <w:p w14:paraId="390122C1" w14:textId="7CBF94F6" w:rsidR="00881194" w:rsidRPr="00B846EA" w:rsidRDefault="00881194" w:rsidP="00B35E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B846EA">
        <w:rPr>
          <w:rFonts w:ascii="Arial" w:hAnsi="Arial" w:cs="Arial"/>
          <w:color w:val="000000" w:themeColor="text1"/>
          <w:lang w:val="en-US"/>
        </w:rPr>
        <w:lastRenderedPageBreak/>
        <w:t>QNAT</w:t>
      </w:r>
      <w:r w:rsidR="00F51238" w:rsidRPr="00B846EA">
        <w:rPr>
          <w:rFonts w:ascii="Arial" w:hAnsi="Arial" w:cs="Arial"/>
          <w:color w:val="000000" w:themeColor="text1"/>
          <w:lang w:val="en-US"/>
        </w:rPr>
        <w:t xml:space="preserve"> </w:t>
      </w:r>
      <w:r w:rsidRPr="00B846EA">
        <w:rPr>
          <w:rFonts w:ascii="Arial" w:hAnsi="Arial" w:cs="Arial"/>
          <w:color w:val="000000" w:themeColor="text1"/>
          <w:lang w:val="en-US"/>
        </w:rPr>
        <w:t xml:space="preserve">will be performed on all patients at the time of sample extraction for IFN-γ </w:t>
      </w:r>
      <w:r w:rsidR="00F566D9" w:rsidRPr="00B846EA">
        <w:rPr>
          <w:rFonts w:ascii="Arial" w:hAnsi="Arial" w:cs="Arial"/>
          <w:color w:val="000000" w:themeColor="text1"/>
          <w:lang w:val="en-US"/>
        </w:rPr>
        <w:t>T-SPOT.CMV</w:t>
      </w:r>
      <w:r w:rsidR="00F566D9" w:rsidRPr="00B846EA" w:rsidDel="00F566D9">
        <w:rPr>
          <w:rFonts w:ascii="Arial" w:hAnsi="Arial" w:cs="Arial"/>
          <w:color w:val="000000" w:themeColor="text1"/>
          <w:lang w:val="en-US"/>
        </w:rPr>
        <w:t xml:space="preserve"> </w:t>
      </w:r>
      <w:r w:rsidRPr="00B846EA">
        <w:rPr>
          <w:rFonts w:ascii="Arial" w:hAnsi="Arial" w:cs="Arial"/>
          <w:color w:val="000000" w:themeColor="text1"/>
          <w:lang w:val="en-US"/>
        </w:rPr>
        <w:t>assay (10</w:t>
      </w:r>
      <w:r w:rsidR="007E6460" w:rsidRPr="00B846EA">
        <w:rPr>
          <w:rFonts w:ascii="Arial" w:hAnsi="Arial" w:cs="Arial"/>
          <w:color w:val="000000" w:themeColor="text1"/>
          <w:lang w:val="en-US"/>
        </w:rPr>
        <w:t xml:space="preserve"> +/-2 days post-HT</w:t>
      </w:r>
      <w:r w:rsidR="00A65E1B" w:rsidRPr="00B846EA">
        <w:rPr>
          <w:rFonts w:ascii="Arial" w:hAnsi="Arial" w:cs="Arial"/>
          <w:color w:val="000000" w:themeColor="text1"/>
          <w:lang w:val="en-US"/>
        </w:rPr>
        <w:t xml:space="preserve"> and three months after </w:t>
      </w:r>
      <w:proofErr w:type="spellStart"/>
      <w:r w:rsidR="00A65E1B" w:rsidRPr="00B846EA">
        <w:rPr>
          <w:rFonts w:ascii="Arial" w:hAnsi="Arial" w:cs="Arial"/>
          <w:color w:val="000000" w:themeColor="text1"/>
          <w:lang w:val="en-US"/>
        </w:rPr>
        <w:t>trasplantation</w:t>
      </w:r>
      <w:proofErr w:type="spellEnd"/>
      <w:r w:rsidR="007E6460" w:rsidRPr="00B846EA">
        <w:rPr>
          <w:rFonts w:ascii="Arial" w:hAnsi="Arial" w:cs="Arial"/>
          <w:color w:val="000000" w:themeColor="text1"/>
          <w:lang w:val="en-US"/>
        </w:rPr>
        <w:t>).</w:t>
      </w:r>
    </w:p>
    <w:p w14:paraId="7B9F116A" w14:textId="77777777" w:rsidR="00881194" w:rsidRPr="00B846EA" w:rsidRDefault="00881194" w:rsidP="00B35E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 w:themeColor="text1"/>
          <w:lang w:val="en-US"/>
        </w:rPr>
      </w:pPr>
    </w:p>
    <w:p w14:paraId="206BFE67" w14:textId="3BB49AEA" w:rsidR="00881194" w:rsidRPr="00B846EA" w:rsidRDefault="00881194" w:rsidP="00B35E3E">
      <w:pPr>
        <w:pStyle w:val="Normal1"/>
        <w:widowControl w:val="0"/>
        <w:spacing w:after="260" w:line="48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B846EA">
        <w:rPr>
          <w:rFonts w:ascii="Arial" w:hAnsi="Arial" w:cs="Arial"/>
          <w:color w:val="000000" w:themeColor="text1"/>
          <w:lang w:val="en-US"/>
        </w:rPr>
        <w:t xml:space="preserve">If </w:t>
      </w:r>
      <w:proofErr w:type="spellStart"/>
      <w:r w:rsidRPr="00B846EA">
        <w:rPr>
          <w:rFonts w:ascii="Arial" w:hAnsi="Arial" w:cs="Arial"/>
          <w:color w:val="000000" w:themeColor="text1"/>
          <w:lang w:val="en-US"/>
        </w:rPr>
        <w:t>DNAemia</w:t>
      </w:r>
      <w:proofErr w:type="spellEnd"/>
      <w:r w:rsidRPr="00B846EA">
        <w:rPr>
          <w:rFonts w:ascii="Arial" w:hAnsi="Arial" w:cs="Arial"/>
          <w:color w:val="000000" w:themeColor="text1"/>
          <w:lang w:val="en-US"/>
        </w:rPr>
        <w:t xml:space="preserve"> </w:t>
      </w:r>
      <w:r w:rsidR="0015690D" w:rsidRPr="00B846EA">
        <w:rPr>
          <w:rFonts w:ascii="Arial" w:hAnsi="Arial" w:cs="Arial"/>
          <w:color w:val="000000" w:themeColor="text1"/>
          <w:lang w:val="en-US"/>
        </w:rPr>
        <w:t>is</w:t>
      </w:r>
      <w:r w:rsidRPr="00B846EA">
        <w:rPr>
          <w:rFonts w:ascii="Arial" w:hAnsi="Arial" w:cs="Arial"/>
          <w:color w:val="000000" w:themeColor="text1"/>
          <w:lang w:val="en-US"/>
        </w:rPr>
        <w:t xml:space="preserve"> detected </w:t>
      </w:r>
      <w:r w:rsidR="00932614" w:rsidRPr="00B846EA">
        <w:rPr>
          <w:rFonts w:ascii="Arial" w:hAnsi="Arial" w:cs="Arial"/>
          <w:color w:val="000000" w:themeColor="text1"/>
          <w:lang w:val="en-US"/>
        </w:rPr>
        <w:t xml:space="preserve">in either of the two groups that will need prophylaxis, </w:t>
      </w:r>
      <w:r w:rsidR="00315099" w:rsidRPr="00B846EA">
        <w:rPr>
          <w:rFonts w:ascii="Arial" w:hAnsi="Arial" w:cs="Arial"/>
          <w:color w:val="000000" w:themeColor="text1"/>
          <w:lang w:val="en-US"/>
        </w:rPr>
        <w:t xml:space="preserve">before starting it, </w:t>
      </w:r>
      <w:r w:rsidRPr="00B846EA">
        <w:rPr>
          <w:rFonts w:ascii="Arial" w:hAnsi="Arial" w:cs="Arial"/>
          <w:color w:val="000000" w:themeColor="text1"/>
          <w:lang w:val="en-US"/>
        </w:rPr>
        <w:t xml:space="preserve">they will continue to be eligible for prophylaxis </w:t>
      </w:r>
      <w:proofErr w:type="gramStart"/>
      <w:r w:rsidRPr="00B846EA">
        <w:rPr>
          <w:rFonts w:ascii="Arial" w:hAnsi="Arial" w:cs="Arial"/>
          <w:color w:val="000000" w:themeColor="text1"/>
          <w:lang w:val="en-US"/>
        </w:rPr>
        <w:t>as long as</w:t>
      </w:r>
      <w:proofErr w:type="gramEnd"/>
      <w:r w:rsidRPr="00B846EA">
        <w:rPr>
          <w:rFonts w:ascii="Arial" w:hAnsi="Arial" w:cs="Arial"/>
          <w:color w:val="000000" w:themeColor="text1"/>
          <w:lang w:val="en-US"/>
        </w:rPr>
        <w:t xml:space="preserve"> they do not exceed the following cut-off points that we </w:t>
      </w:r>
      <w:r w:rsidR="009A26CE" w:rsidRPr="00B846EA">
        <w:rPr>
          <w:rFonts w:ascii="Arial" w:hAnsi="Arial" w:cs="Arial"/>
          <w:color w:val="000000" w:themeColor="text1"/>
          <w:lang w:val="en-US"/>
        </w:rPr>
        <w:t xml:space="preserve">have </w:t>
      </w:r>
      <w:r w:rsidRPr="00B846EA">
        <w:rPr>
          <w:rFonts w:ascii="Arial" w:hAnsi="Arial" w:cs="Arial"/>
          <w:color w:val="000000" w:themeColor="text1"/>
          <w:lang w:val="en-US"/>
        </w:rPr>
        <w:t>consider</w:t>
      </w:r>
      <w:r w:rsidR="009A26CE" w:rsidRPr="00B846EA">
        <w:rPr>
          <w:rFonts w:ascii="Arial" w:hAnsi="Arial" w:cs="Arial"/>
          <w:color w:val="000000" w:themeColor="text1"/>
          <w:lang w:val="en-US"/>
        </w:rPr>
        <w:t>ed</w:t>
      </w:r>
      <w:r w:rsidRPr="00B846EA">
        <w:rPr>
          <w:rFonts w:ascii="Arial" w:hAnsi="Arial" w:cs="Arial"/>
          <w:color w:val="000000" w:themeColor="text1"/>
          <w:lang w:val="en-US"/>
        </w:rPr>
        <w:t xml:space="preserve"> to be clinically significant (as explained below). </w:t>
      </w:r>
    </w:p>
    <w:p w14:paraId="1223FB5D" w14:textId="12EA261D" w:rsidR="00881194" w:rsidRPr="00B846EA" w:rsidRDefault="00F51238" w:rsidP="00B35E3E">
      <w:pPr>
        <w:spacing w:line="48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B846EA">
        <w:rPr>
          <w:rFonts w:ascii="Arial" w:hAnsi="Arial" w:cs="Arial"/>
          <w:color w:val="000000" w:themeColor="text1"/>
          <w:lang w:val="en-US"/>
        </w:rPr>
        <w:t xml:space="preserve">QNAT will also be performed on all patients at discharge, at 3 months (12 ± 4 weeks), 4 months (16 ± 4 weeks), 5 months (20 ± 4 weeks), 6 months (24 ± 4 weeks) and one year (48 ± 4 weeks) post-HT in the local laboratories of each center.  </w:t>
      </w:r>
    </w:p>
    <w:p w14:paraId="3502134C" w14:textId="76B6C777" w:rsidR="00B1162A" w:rsidRPr="00B846EA" w:rsidRDefault="009F4A43" w:rsidP="00B35E3E">
      <w:pPr>
        <w:spacing w:line="48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B846EA">
        <w:rPr>
          <w:rFonts w:ascii="Arial" w:hAnsi="Arial" w:cs="Arial"/>
          <w:color w:val="000000" w:themeColor="text1"/>
          <w:lang w:val="en-US"/>
        </w:rPr>
        <w:t xml:space="preserve">In patients receiving prophylaxis (group 1 a and control group) </w:t>
      </w:r>
      <w:r w:rsidR="00931F46" w:rsidRPr="00B846EA">
        <w:rPr>
          <w:rFonts w:ascii="Arial" w:hAnsi="Arial" w:cs="Arial"/>
          <w:color w:val="000000" w:themeColor="text1"/>
          <w:lang w:val="en-US"/>
        </w:rPr>
        <w:t xml:space="preserve">QNAT </w:t>
      </w:r>
      <w:r w:rsidRPr="00B846EA">
        <w:rPr>
          <w:rFonts w:ascii="Arial" w:hAnsi="Arial" w:cs="Arial"/>
          <w:color w:val="000000" w:themeColor="text1"/>
          <w:lang w:val="en-US"/>
        </w:rPr>
        <w:t xml:space="preserve">will be </w:t>
      </w:r>
      <w:r w:rsidR="00931F46" w:rsidRPr="00B846EA">
        <w:rPr>
          <w:rFonts w:ascii="Arial" w:hAnsi="Arial" w:cs="Arial"/>
          <w:color w:val="000000" w:themeColor="text1"/>
          <w:lang w:val="en-US"/>
        </w:rPr>
        <w:t xml:space="preserve">also </w:t>
      </w:r>
      <w:r w:rsidR="005A0300" w:rsidRPr="00B846EA">
        <w:rPr>
          <w:rFonts w:ascii="Arial" w:hAnsi="Arial" w:cs="Arial"/>
          <w:color w:val="000000" w:themeColor="text1"/>
          <w:lang w:val="en-US"/>
        </w:rPr>
        <w:t xml:space="preserve">performed </w:t>
      </w:r>
      <w:r w:rsidRPr="00B846EA">
        <w:rPr>
          <w:rFonts w:ascii="Arial" w:hAnsi="Arial" w:cs="Arial"/>
          <w:color w:val="000000" w:themeColor="text1"/>
          <w:lang w:val="en-US"/>
        </w:rPr>
        <w:t xml:space="preserve">at 15 days (± 3 days) after the end of treatment. </w:t>
      </w:r>
    </w:p>
    <w:p w14:paraId="4712777C" w14:textId="03CA4419" w:rsidR="00B1162A" w:rsidRPr="00B846EA" w:rsidRDefault="00B1162A" w:rsidP="00B35E3E">
      <w:pPr>
        <w:shd w:val="clear" w:color="auto" w:fill="FFFFFF"/>
        <w:spacing w:after="75" w:line="480" w:lineRule="auto"/>
        <w:jc w:val="both"/>
        <w:textAlignment w:val="baseline"/>
        <w:rPr>
          <w:rFonts w:ascii="Arial" w:hAnsi="Arial" w:cs="Arial"/>
          <w:color w:val="000000" w:themeColor="text1"/>
          <w:lang w:val="en-US"/>
        </w:rPr>
      </w:pPr>
      <w:r w:rsidRPr="00B846EA">
        <w:rPr>
          <w:rFonts w:ascii="Arial" w:hAnsi="Arial" w:cs="Arial"/>
          <w:color w:val="000000" w:themeColor="text1"/>
          <w:lang w:val="en-US"/>
        </w:rPr>
        <w:t>Although no clinical guidance has been provided on the treatment of late disease, the treatment received will be recorded.</w:t>
      </w:r>
    </w:p>
    <w:p w14:paraId="6C867C8C" w14:textId="0F6B1800" w:rsidR="00C73845" w:rsidRPr="00B846EA" w:rsidRDefault="00C73845" w:rsidP="00C73845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Sample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Size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Calculation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and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Statistical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Analysis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:</w:t>
      </w:r>
    </w:p>
    <w:p w14:paraId="7E64FFB7" w14:textId="7078804E" w:rsidR="00C73845" w:rsidRPr="00B846EA" w:rsidRDefault="00C73845" w:rsidP="00C73845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Sample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size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be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dtermined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assuming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 40% cumulative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incidence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of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CMV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infection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at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one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year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, a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one-sided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type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I error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of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2.5%, 80%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statistical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power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, and a 10% non-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inferiority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margin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. A total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of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188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patients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(125 experimental and 63 control)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be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required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,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accounting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for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anticipated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10%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dropout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rate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.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Analyses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be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conducted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both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intention-to-treat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and per-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protocol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basis.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Comparisons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between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groups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use standard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parametric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or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nonparametric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tests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as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appropriate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. Time-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to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-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event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analyses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be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performed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using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Cox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proportional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hazards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models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and Kaplan–Meier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survival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curves.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Cost-</w:t>
      </w:r>
      <w:r w:rsidRPr="00B846EA">
        <w:rPr>
          <w:rFonts w:ascii="Arial" w:eastAsia="Times New Roman" w:hAnsi="Arial" w:cs="Arial"/>
          <w:color w:val="000000" w:themeColor="text1"/>
          <w:lang w:eastAsia="es-ES_tradnl"/>
        </w:rPr>
        <w:lastRenderedPageBreak/>
        <w:t>effectiveness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analyses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include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both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direct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and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indirect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healthcare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costs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.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statistical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tests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be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two-sided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, and p-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values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&lt;0.05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be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considered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significant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.</w:t>
      </w:r>
    </w:p>
    <w:p w14:paraId="59DF26A5" w14:textId="60DA80F3" w:rsidR="00C73845" w:rsidRPr="00B846EA" w:rsidRDefault="00C73845" w:rsidP="00C73845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7CF946CC" w14:textId="77777777" w:rsidR="00C73845" w:rsidRPr="00B846EA" w:rsidRDefault="00C73845" w:rsidP="00C73845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Ethical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Approval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:</w:t>
      </w:r>
    </w:p>
    <w:p w14:paraId="247AD4C8" w14:textId="77777777" w:rsidR="00C73845" w:rsidRPr="00B846EA" w:rsidRDefault="00C73845" w:rsidP="00C73845">
      <w:pPr>
        <w:spacing w:line="480" w:lineRule="auto"/>
        <w:ind w:left="360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3991D187" w14:textId="79824CE9" w:rsidR="00C73845" w:rsidRPr="00B846EA" w:rsidRDefault="00C73845" w:rsidP="00C73845">
      <w:pPr>
        <w:spacing w:line="480" w:lineRule="auto"/>
        <w:ind w:left="360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The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trial </w:t>
      </w:r>
      <w:proofErr w:type="spellStart"/>
      <w:r w:rsidR="0093284E"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="0093284E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="0093284E" w:rsidRPr="00B846EA">
        <w:rPr>
          <w:rFonts w:ascii="Arial" w:eastAsia="Times New Roman" w:hAnsi="Arial" w:cs="Arial"/>
          <w:color w:val="000000" w:themeColor="text1"/>
          <w:lang w:eastAsia="es-ES_tradnl"/>
        </w:rPr>
        <w:t>comply</w:t>
      </w:r>
      <w:proofErr w:type="spellEnd"/>
      <w:r w:rsidR="0093284E"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with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the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Declaration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of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Helsinki and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Spanish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legislation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.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Approval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has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been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obtained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from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the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national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regulatory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authority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and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local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ethics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committees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at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participating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centers.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patients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will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provide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informed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consent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before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any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study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procedure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.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The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study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has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been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</w:t>
      </w: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registered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 xml:space="preserve"> at ClinicalTrials.gov (NCT04278547).</w:t>
      </w:r>
    </w:p>
    <w:p w14:paraId="16CD6F66" w14:textId="62374D22" w:rsidR="0093284E" w:rsidRPr="00B846EA" w:rsidRDefault="0093284E" w:rsidP="00C73845">
      <w:pPr>
        <w:spacing w:line="480" w:lineRule="auto"/>
        <w:ind w:left="360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7E96EA37" w14:textId="552DC27F" w:rsidR="0093284E" w:rsidRPr="00B846EA" w:rsidRDefault="0093284E" w:rsidP="0093284E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proofErr w:type="spellStart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Funding</w:t>
      </w:r>
      <w:proofErr w:type="spellEnd"/>
      <w:r w:rsidRPr="00B846EA">
        <w:rPr>
          <w:rFonts w:ascii="Arial" w:eastAsia="Times New Roman" w:hAnsi="Arial" w:cs="Arial"/>
          <w:color w:val="000000" w:themeColor="text1"/>
          <w:lang w:eastAsia="es-ES_tradnl"/>
        </w:rPr>
        <w:t>:</w:t>
      </w:r>
    </w:p>
    <w:p w14:paraId="6F95EAC7" w14:textId="77777777" w:rsidR="0093284E" w:rsidRPr="00B846EA" w:rsidRDefault="0093284E" w:rsidP="0093284E">
      <w:pPr>
        <w:spacing w:line="480" w:lineRule="auto"/>
        <w:ind w:left="36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</w:pPr>
    </w:p>
    <w:p w14:paraId="578B6EDB" w14:textId="29F1EA02" w:rsidR="0093284E" w:rsidRPr="00B846EA" w:rsidRDefault="0093284E" w:rsidP="0093284E">
      <w:pPr>
        <w:spacing w:line="480" w:lineRule="auto"/>
        <w:ind w:left="360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B846EA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 xml:space="preserve">This work will be supported by the Instituto de Salud Carlos III (Grant number PI19/01610), co-founded by the Spanish Cardiology Society (Grant number 19PSJ017) and by the Spanish Platform for Clinical Research and Clinical Trials, </w:t>
      </w:r>
      <w:proofErr w:type="spellStart"/>
      <w:r w:rsidRPr="00B846EA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SCReN</w:t>
      </w:r>
      <w:proofErr w:type="spellEnd"/>
      <w:r w:rsidRPr="00B846EA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 xml:space="preserve"> (Spanish Clinical Research Network), financed by the ISCIII-General </w:t>
      </w:r>
      <w:proofErr w:type="spellStart"/>
      <w:r w:rsidRPr="00B846EA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Subdirectorate</w:t>
      </w:r>
      <w:proofErr w:type="spellEnd"/>
      <w:r w:rsidRPr="00B846EA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 xml:space="preserve"> of Evaluation and Promotion of Research, through project PT17/0017/0010 and PT20/00008 integrated into the I+D+I 2013-2016 State Plan and co-financed by the European Regional Development Fund (FEDER). We thank </w:t>
      </w:r>
      <w:r w:rsidRPr="00B846EA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en-US"/>
        </w:rPr>
        <w:t xml:space="preserve">CERCA </w:t>
      </w:r>
      <w:proofErr w:type="spellStart"/>
      <w:r w:rsidRPr="00B846EA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en-US"/>
        </w:rPr>
        <w:t>Programme</w:t>
      </w:r>
      <w:proofErr w:type="spellEnd"/>
      <w:r w:rsidRPr="00B846EA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en-US"/>
        </w:rPr>
        <w:t xml:space="preserve"> / Generalitat de Catalunya </w:t>
      </w:r>
      <w:r w:rsidRPr="00B846EA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for institutional support.  </w:t>
      </w:r>
    </w:p>
    <w:p w14:paraId="01A33074" w14:textId="77777777" w:rsidR="00C73845" w:rsidRPr="00B846EA" w:rsidRDefault="00C73845" w:rsidP="00B35E3E">
      <w:pPr>
        <w:shd w:val="clear" w:color="auto" w:fill="FFFFFF"/>
        <w:spacing w:after="75" w:line="480" w:lineRule="auto"/>
        <w:jc w:val="both"/>
        <w:textAlignment w:val="baseline"/>
        <w:rPr>
          <w:rFonts w:ascii="Arial" w:hAnsi="Arial" w:cs="Arial"/>
          <w:color w:val="000000" w:themeColor="text1"/>
          <w:lang w:val="en-US"/>
        </w:rPr>
      </w:pPr>
    </w:p>
    <w:p w14:paraId="18B574FA" w14:textId="64420EA8" w:rsidR="00FE4F87" w:rsidRPr="00C454E4" w:rsidRDefault="00FE4F87" w:rsidP="00B35E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 w:themeColor="text1"/>
          <w:lang w:val="en-US"/>
        </w:rPr>
      </w:pPr>
    </w:p>
    <w:sectPr w:rsidR="00FE4F87" w:rsidRPr="00C454E4" w:rsidSect="00B846E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C55E" w14:textId="77777777" w:rsidR="001B14E8" w:rsidRDefault="001B14E8" w:rsidP="00A867AB">
      <w:r>
        <w:separator/>
      </w:r>
    </w:p>
  </w:endnote>
  <w:endnote w:type="continuationSeparator" w:id="0">
    <w:p w14:paraId="42B0219B" w14:textId="77777777" w:rsidR="001B14E8" w:rsidRDefault="001B14E8" w:rsidP="00A8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217414"/>
      <w:docPartObj>
        <w:docPartGallery w:val="Page Numbers (Bottom of Page)"/>
        <w:docPartUnique/>
      </w:docPartObj>
    </w:sdtPr>
    <w:sdtContent>
      <w:p w14:paraId="449D5B71" w14:textId="6DE5986A" w:rsidR="00A867AB" w:rsidRDefault="00A867A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6EA">
          <w:rPr>
            <w:noProof/>
          </w:rPr>
          <w:t>9</w:t>
        </w:r>
        <w:r>
          <w:fldChar w:fldCharType="end"/>
        </w:r>
      </w:p>
    </w:sdtContent>
  </w:sdt>
  <w:p w14:paraId="6E42ACA6" w14:textId="77777777" w:rsidR="00A867AB" w:rsidRDefault="00A867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1B49" w14:textId="77777777" w:rsidR="001B14E8" w:rsidRDefault="001B14E8" w:rsidP="00A867AB">
      <w:r>
        <w:separator/>
      </w:r>
    </w:p>
  </w:footnote>
  <w:footnote w:type="continuationSeparator" w:id="0">
    <w:p w14:paraId="14117EE5" w14:textId="77777777" w:rsidR="001B14E8" w:rsidRDefault="001B14E8" w:rsidP="00A86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0916"/>
    <w:multiLevelType w:val="hybridMultilevel"/>
    <w:tmpl w:val="8814090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654"/>
    <w:multiLevelType w:val="hybridMultilevel"/>
    <w:tmpl w:val="948432E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509E8"/>
    <w:multiLevelType w:val="hybridMultilevel"/>
    <w:tmpl w:val="8814090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104575">
    <w:abstractNumId w:val="1"/>
  </w:num>
  <w:num w:numId="2" w16cid:durableId="592325446">
    <w:abstractNumId w:val="2"/>
  </w:num>
  <w:num w:numId="3" w16cid:durableId="157122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42"/>
    <w:rsid w:val="00000DE4"/>
    <w:rsid w:val="000263BC"/>
    <w:rsid w:val="00032797"/>
    <w:rsid w:val="00036852"/>
    <w:rsid w:val="00066D99"/>
    <w:rsid w:val="00070831"/>
    <w:rsid w:val="00090098"/>
    <w:rsid w:val="000902E2"/>
    <w:rsid w:val="00093135"/>
    <w:rsid w:val="0009678C"/>
    <w:rsid w:val="000A12EB"/>
    <w:rsid w:val="000B47CE"/>
    <w:rsid w:val="000C3CBE"/>
    <w:rsid w:val="000C7FEC"/>
    <w:rsid w:val="000F52C9"/>
    <w:rsid w:val="001545CE"/>
    <w:rsid w:val="0015690D"/>
    <w:rsid w:val="00162B78"/>
    <w:rsid w:val="00162EDF"/>
    <w:rsid w:val="001974C1"/>
    <w:rsid w:val="001B14E8"/>
    <w:rsid w:val="001F094D"/>
    <w:rsid w:val="002072A0"/>
    <w:rsid w:val="00236BF9"/>
    <w:rsid w:val="0026228D"/>
    <w:rsid w:val="0026504F"/>
    <w:rsid w:val="00274C8B"/>
    <w:rsid w:val="002758C6"/>
    <w:rsid w:val="00283FAB"/>
    <w:rsid w:val="002D0C50"/>
    <w:rsid w:val="00300313"/>
    <w:rsid w:val="00315099"/>
    <w:rsid w:val="00327F71"/>
    <w:rsid w:val="00334E07"/>
    <w:rsid w:val="00362394"/>
    <w:rsid w:val="003640D8"/>
    <w:rsid w:val="00366B9B"/>
    <w:rsid w:val="00372AD4"/>
    <w:rsid w:val="003974A9"/>
    <w:rsid w:val="003A0A54"/>
    <w:rsid w:val="003F40EF"/>
    <w:rsid w:val="003F784C"/>
    <w:rsid w:val="00405A96"/>
    <w:rsid w:val="00435972"/>
    <w:rsid w:val="00435A26"/>
    <w:rsid w:val="004474BB"/>
    <w:rsid w:val="00452DEF"/>
    <w:rsid w:val="004701DB"/>
    <w:rsid w:val="0049550B"/>
    <w:rsid w:val="004F1FAF"/>
    <w:rsid w:val="004F61B8"/>
    <w:rsid w:val="005406BA"/>
    <w:rsid w:val="005420BE"/>
    <w:rsid w:val="00550555"/>
    <w:rsid w:val="0056133D"/>
    <w:rsid w:val="00565F44"/>
    <w:rsid w:val="00572EBB"/>
    <w:rsid w:val="005A0300"/>
    <w:rsid w:val="005B2955"/>
    <w:rsid w:val="005C42DE"/>
    <w:rsid w:val="0061258A"/>
    <w:rsid w:val="0062617E"/>
    <w:rsid w:val="006341A9"/>
    <w:rsid w:val="00652C7E"/>
    <w:rsid w:val="00693A99"/>
    <w:rsid w:val="006B3C3C"/>
    <w:rsid w:val="006D5D92"/>
    <w:rsid w:val="006E214C"/>
    <w:rsid w:val="007469C7"/>
    <w:rsid w:val="00761566"/>
    <w:rsid w:val="00762A0A"/>
    <w:rsid w:val="007868F9"/>
    <w:rsid w:val="007A41FC"/>
    <w:rsid w:val="007B718C"/>
    <w:rsid w:val="007E3AEC"/>
    <w:rsid w:val="007E6460"/>
    <w:rsid w:val="007F380A"/>
    <w:rsid w:val="008005F9"/>
    <w:rsid w:val="00811CFF"/>
    <w:rsid w:val="00851705"/>
    <w:rsid w:val="00851D82"/>
    <w:rsid w:val="00867432"/>
    <w:rsid w:val="00881194"/>
    <w:rsid w:val="008912FD"/>
    <w:rsid w:val="008B621E"/>
    <w:rsid w:val="008E07A2"/>
    <w:rsid w:val="008F7B09"/>
    <w:rsid w:val="0091157E"/>
    <w:rsid w:val="00920182"/>
    <w:rsid w:val="00925E70"/>
    <w:rsid w:val="00931F46"/>
    <w:rsid w:val="00932614"/>
    <w:rsid w:val="0093284E"/>
    <w:rsid w:val="00941F70"/>
    <w:rsid w:val="00944C1A"/>
    <w:rsid w:val="0095053B"/>
    <w:rsid w:val="0096537D"/>
    <w:rsid w:val="00972432"/>
    <w:rsid w:val="0097399B"/>
    <w:rsid w:val="00984E7E"/>
    <w:rsid w:val="0098699B"/>
    <w:rsid w:val="009A26CE"/>
    <w:rsid w:val="009B1342"/>
    <w:rsid w:val="009D398A"/>
    <w:rsid w:val="009D4A59"/>
    <w:rsid w:val="009E0D75"/>
    <w:rsid w:val="009E3325"/>
    <w:rsid w:val="009E5CCE"/>
    <w:rsid w:val="009F4A43"/>
    <w:rsid w:val="00A074B9"/>
    <w:rsid w:val="00A10AC6"/>
    <w:rsid w:val="00A229BC"/>
    <w:rsid w:val="00A33278"/>
    <w:rsid w:val="00A34D62"/>
    <w:rsid w:val="00A446E9"/>
    <w:rsid w:val="00A65E1B"/>
    <w:rsid w:val="00A867AB"/>
    <w:rsid w:val="00AD7C14"/>
    <w:rsid w:val="00AF06A1"/>
    <w:rsid w:val="00AF359A"/>
    <w:rsid w:val="00AF7274"/>
    <w:rsid w:val="00B1144F"/>
    <w:rsid w:val="00B1162A"/>
    <w:rsid w:val="00B12D99"/>
    <w:rsid w:val="00B3109A"/>
    <w:rsid w:val="00B33540"/>
    <w:rsid w:val="00B35E3E"/>
    <w:rsid w:val="00B36DA2"/>
    <w:rsid w:val="00B7044D"/>
    <w:rsid w:val="00B846EA"/>
    <w:rsid w:val="00BB617F"/>
    <w:rsid w:val="00BE523C"/>
    <w:rsid w:val="00BF026C"/>
    <w:rsid w:val="00BF0E9B"/>
    <w:rsid w:val="00C1286B"/>
    <w:rsid w:val="00C2709E"/>
    <w:rsid w:val="00C44DEE"/>
    <w:rsid w:val="00C454E4"/>
    <w:rsid w:val="00C73845"/>
    <w:rsid w:val="00C73A64"/>
    <w:rsid w:val="00C853A1"/>
    <w:rsid w:val="00C91D05"/>
    <w:rsid w:val="00CA2628"/>
    <w:rsid w:val="00CE1525"/>
    <w:rsid w:val="00CE7566"/>
    <w:rsid w:val="00D11C0C"/>
    <w:rsid w:val="00D152B8"/>
    <w:rsid w:val="00D47D51"/>
    <w:rsid w:val="00D70154"/>
    <w:rsid w:val="00D86F21"/>
    <w:rsid w:val="00DA2B66"/>
    <w:rsid w:val="00DA379C"/>
    <w:rsid w:val="00DB7B0A"/>
    <w:rsid w:val="00DB7EE1"/>
    <w:rsid w:val="00DE2636"/>
    <w:rsid w:val="00DF1707"/>
    <w:rsid w:val="00E119AE"/>
    <w:rsid w:val="00E20189"/>
    <w:rsid w:val="00E77985"/>
    <w:rsid w:val="00E8069C"/>
    <w:rsid w:val="00E83CAF"/>
    <w:rsid w:val="00EA19DB"/>
    <w:rsid w:val="00EC3AEA"/>
    <w:rsid w:val="00EC6B0A"/>
    <w:rsid w:val="00EE0007"/>
    <w:rsid w:val="00EE6927"/>
    <w:rsid w:val="00F12632"/>
    <w:rsid w:val="00F2324A"/>
    <w:rsid w:val="00F44070"/>
    <w:rsid w:val="00F51238"/>
    <w:rsid w:val="00F566D9"/>
    <w:rsid w:val="00F721CE"/>
    <w:rsid w:val="00F73ACC"/>
    <w:rsid w:val="00F73C30"/>
    <w:rsid w:val="00F767F5"/>
    <w:rsid w:val="00F86514"/>
    <w:rsid w:val="00FA3F9F"/>
    <w:rsid w:val="00F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9419"/>
  <w15:chartTrackingRefBased/>
  <w15:docId w15:val="{8DA9F0B9-5B72-0242-A0C4-27B8D8EF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9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13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342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342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E779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D152B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52B8"/>
    <w:rPr>
      <w:color w:val="605E5C"/>
      <w:shd w:val="clear" w:color="auto" w:fill="E1DFDD"/>
    </w:rPr>
  </w:style>
  <w:style w:type="paragraph" w:customStyle="1" w:styleId="Normal1">
    <w:name w:val="Normal1"/>
    <w:rsid w:val="009F4A43"/>
    <w:rPr>
      <w:rFonts w:ascii="Times New Roman" w:eastAsia="Times New Roman" w:hAnsi="Times New Roman" w:cs="Times New Roman"/>
      <w:lang w:eastAsia="es-ES"/>
    </w:rPr>
  </w:style>
  <w:style w:type="paragraph" w:styleId="Revisin">
    <w:name w:val="Revision"/>
    <w:hidden/>
    <w:uiPriority w:val="99"/>
    <w:semiHidden/>
    <w:rsid w:val="00EE6927"/>
  </w:style>
  <w:style w:type="character" w:customStyle="1" w:styleId="normaltextrun">
    <w:name w:val="normaltextrun"/>
    <w:basedOn w:val="Fuentedeprrafopredeter"/>
    <w:rsid w:val="0093284E"/>
  </w:style>
  <w:style w:type="paragraph" w:styleId="Encabezado">
    <w:name w:val="header"/>
    <w:basedOn w:val="Normal"/>
    <w:link w:val="EncabezadoCar"/>
    <w:uiPriority w:val="99"/>
    <w:unhideWhenUsed/>
    <w:rsid w:val="00A867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7AB"/>
  </w:style>
  <w:style w:type="paragraph" w:styleId="Piedepgina">
    <w:name w:val="footer"/>
    <w:basedOn w:val="Normal"/>
    <w:link w:val="PiedepginaCar"/>
    <w:uiPriority w:val="99"/>
    <w:unhideWhenUsed/>
    <w:rsid w:val="00A867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7AB"/>
  </w:style>
  <w:style w:type="character" w:styleId="Nmerodelnea">
    <w:name w:val="line number"/>
    <w:basedOn w:val="Fuentedeprrafopredeter"/>
    <w:uiPriority w:val="99"/>
    <w:semiHidden/>
    <w:unhideWhenUsed/>
    <w:rsid w:val="007B7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1775</Words>
  <Characters>9766</Characters>
  <Application>Microsoft Office Word</Application>
  <DocSecurity>0</DocSecurity>
  <Lines>81</Lines>
  <Paragraphs>23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García</dc:creator>
  <cp:keywords/>
  <dc:description/>
  <cp:lastModifiedBy>Elena García</cp:lastModifiedBy>
  <cp:revision>2</cp:revision>
  <dcterms:created xsi:type="dcterms:W3CDTF">2025-10-31T18:12:00Z</dcterms:created>
  <dcterms:modified xsi:type="dcterms:W3CDTF">2025-10-31T18:12:00Z</dcterms:modified>
</cp:coreProperties>
</file>